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475B73" w14:textId="1E9F59FB" w:rsidR="0045332F" w:rsidRDefault="0045332F" w:rsidP="0045332F">
      <w:r>
        <w:t>Proposal for OASIS Biometrics</w:t>
      </w:r>
      <w:r w:rsidR="00DB2DE4">
        <w:rPr>
          <w:color w:val="FF0000"/>
        </w:rPr>
        <w:t xml:space="preserve"> Service</w:t>
      </w:r>
      <w:r w:rsidR="009035E1">
        <w:rPr>
          <w:color w:val="FF0000"/>
        </w:rPr>
        <w:t>s</w:t>
      </w:r>
      <w:r w:rsidR="00DB2DE4">
        <w:rPr>
          <w:color w:val="FF0000"/>
        </w:rPr>
        <w:t xml:space="preserve"> </w:t>
      </w:r>
      <w:r>
        <w:t>Technical Committee</w:t>
      </w:r>
    </w:p>
    <w:p w14:paraId="0E8C0AC5" w14:textId="77777777" w:rsidR="0045332F" w:rsidRDefault="0045332F" w:rsidP="0045332F">
      <w:r>
        <w:t xml:space="preserve"> </w:t>
      </w:r>
    </w:p>
    <w:p w14:paraId="2D85DFB0" w14:textId="77777777" w:rsidR="0045332F" w:rsidRDefault="0045332F" w:rsidP="0045332F">
      <w:r>
        <w:t>(1) TC Charter</w:t>
      </w:r>
    </w:p>
    <w:p w14:paraId="03E33EA7" w14:textId="77777777" w:rsidR="0045332F" w:rsidRDefault="0045332F" w:rsidP="0045332F">
      <w:r>
        <w:t xml:space="preserve"> </w:t>
      </w:r>
    </w:p>
    <w:p w14:paraId="3FE74CBB" w14:textId="77777777" w:rsidR="0045332F" w:rsidRDefault="0045332F" w:rsidP="0045332F">
      <w:r>
        <w:t>(1)(a) Name of the TC</w:t>
      </w:r>
    </w:p>
    <w:p w14:paraId="27778763" w14:textId="77777777" w:rsidR="0045332F" w:rsidRDefault="0045332F" w:rsidP="0045332F">
      <w:r>
        <w:t xml:space="preserve"> </w:t>
      </w:r>
    </w:p>
    <w:p w14:paraId="2F91B88F" w14:textId="7AF4D932" w:rsidR="0045332F" w:rsidRDefault="00856020" w:rsidP="0045332F">
      <w:r>
        <w:t>OASIS Biometrics</w:t>
      </w:r>
      <w:r w:rsidR="00DB2DE4">
        <w:t xml:space="preserve"> </w:t>
      </w:r>
      <w:r w:rsidR="009035E1">
        <w:rPr>
          <w:color w:val="FF0000"/>
        </w:rPr>
        <w:t xml:space="preserve">Services </w:t>
      </w:r>
      <w:r>
        <w:t xml:space="preserve">Technical </w:t>
      </w:r>
      <w:r w:rsidR="0045332F">
        <w:t>Committee</w:t>
      </w:r>
    </w:p>
    <w:p w14:paraId="04620664" w14:textId="77777777" w:rsidR="0045332F" w:rsidRDefault="0045332F" w:rsidP="0045332F">
      <w:r>
        <w:t xml:space="preserve"> </w:t>
      </w:r>
    </w:p>
    <w:p w14:paraId="3F9BE5E5" w14:textId="77777777" w:rsidR="0045332F" w:rsidRDefault="0045332F" w:rsidP="0045332F">
      <w:r>
        <w:t>(1)(a)(1) TC Short Name</w:t>
      </w:r>
    </w:p>
    <w:p w14:paraId="5ACF6B8A" w14:textId="77777777" w:rsidR="0045332F" w:rsidRDefault="0045332F" w:rsidP="0045332F">
      <w:r>
        <w:t xml:space="preserve"> </w:t>
      </w:r>
    </w:p>
    <w:p w14:paraId="625D75CE" w14:textId="678387EE" w:rsidR="0045332F" w:rsidRDefault="009035E1" w:rsidP="0045332F">
      <w:r>
        <w:t>[</w:t>
      </w:r>
      <w:r w:rsidRPr="009035E1">
        <w:rPr>
          <w:color w:val="FF0000"/>
        </w:rPr>
        <w:t>bioserv</w:t>
      </w:r>
      <w:r w:rsidR="0045332F">
        <w:t>]</w:t>
      </w:r>
    </w:p>
    <w:p w14:paraId="367D5686" w14:textId="77777777" w:rsidR="0045332F" w:rsidRDefault="0045332F" w:rsidP="0045332F">
      <w:r>
        <w:t xml:space="preserve"> </w:t>
      </w:r>
    </w:p>
    <w:p w14:paraId="016D21BC" w14:textId="77777777" w:rsidR="0045332F" w:rsidRDefault="0045332F" w:rsidP="0045332F">
      <w:r>
        <w:t>(1)(b) Statement of Purpose</w:t>
      </w:r>
    </w:p>
    <w:p w14:paraId="52B3CE9C" w14:textId="1A3DF875" w:rsidR="0045332F" w:rsidRDefault="0045332F" w:rsidP="00F97A17">
      <w:pPr>
        <w:tabs>
          <w:tab w:val="left" w:pos="1590"/>
        </w:tabs>
      </w:pPr>
      <w:r>
        <w:t xml:space="preserve"> </w:t>
      </w:r>
      <w:r w:rsidR="00F97A17">
        <w:tab/>
      </w:r>
    </w:p>
    <w:p w14:paraId="570A220B" w14:textId="080D1623" w:rsidR="0045332F" w:rsidRDefault="0045332F" w:rsidP="0045332F">
      <w:r>
        <w:t xml:space="preserve">Despite </w:t>
      </w:r>
      <w:r w:rsidR="00F97A17">
        <w:t>advances in the use of biometrics</w:t>
      </w:r>
      <w:r>
        <w:t>, opportunities remain for improving interoperability among biometric-related systems or system components.</w:t>
      </w:r>
    </w:p>
    <w:p w14:paraId="3AC8F077" w14:textId="77777777" w:rsidR="0045332F" w:rsidRDefault="0045332F" w:rsidP="0045332F">
      <w:r>
        <w:t xml:space="preserve"> </w:t>
      </w:r>
    </w:p>
    <w:p w14:paraId="49BDD15B" w14:textId="729426ED" w:rsidR="0045332F" w:rsidRDefault="0045332F" w:rsidP="0045332F">
      <w:r>
        <w:t>The purpose of the OASIS Biometrics</w:t>
      </w:r>
      <w:r w:rsidR="00DB2DE4">
        <w:t xml:space="preserve"> </w:t>
      </w:r>
      <w:r w:rsidR="009035E1">
        <w:rPr>
          <w:color w:val="FF0000"/>
        </w:rPr>
        <w:t xml:space="preserve">Services </w:t>
      </w:r>
      <w:r>
        <w:t>Technical Committee is to define, enhance, and maintain open standards that facilitate the use of biometrics and biometric operations over a service-oriented architecture, such as web services. Improving interoperability is a key enabler for making biometrics more viable within multi-factor authentication. The Technical Committee will help bring parity to biometrics as compared to other technologies, such as cryptographic certificate use and management, where web services standards are markedly more mature.</w:t>
      </w:r>
    </w:p>
    <w:p w14:paraId="12157EE1" w14:textId="77777777" w:rsidR="0045332F" w:rsidRDefault="0045332F" w:rsidP="0045332F">
      <w:r>
        <w:t xml:space="preserve"> </w:t>
      </w:r>
    </w:p>
    <w:p w14:paraId="5DB14A04" w14:textId="77777777" w:rsidR="0045332F" w:rsidRDefault="0045332F" w:rsidP="0045332F">
      <w:r>
        <w:t>Because improving interoperability through open standards is a primary objective, the Technical Committee is dedicated to the concept that conformance to standards will imply a well-documented level of interoperability. Additionally, standards development in the Technical Committee should both minimize and segregate components where requiring unique knowledge hinders interoperability.</w:t>
      </w:r>
    </w:p>
    <w:p w14:paraId="757151D8" w14:textId="77777777" w:rsidR="0045332F" w:rsidRDefault="0045332F" w:rsidP="0045332F">
      <w:r>
        <w:t xml:space="preserve"> </w:t>
      </w:r>
    </w:p>
    <w:p w14:paraId="175DB5DF" w14:textId="77777777" w:rsidR="0045332F" w:rsidRDefault="0045332F" w:rsidP="0045332F">
      <w:r>
        <w:t>(1)(c) Scope of Work</w:t>
      </w:r>
    </w:p>
    <w:p w14:paraId="0116DCCB" w14:textId="77777777" w:rsidR="0045332F" w:rsidRDefault="0045332F" w:rsidP="0045332F">
      <w:r>
        <w:t xml:space="preserve"> </w:t>
      </w:r>
    </w:p>
    <w:p w14:paraId="652114BC" w14:textId="77777777" w:rsidR="0045332F" w:rsidRDefault="0045332F" w:rsidP="0045332F">
      <w:r>
        <w:t>The Technical Committee will provide a general, yet targeted forum for developing a suite of open standards that will foster and accelerate the use of biometrics and biometric services in a distributed environment.</w:t>
      </w:r>
    </w:p>
    <w:p w14:paraId="04EF6691" w14:textId="3F62EC03" w:rsidR="0010515D" w:rsidRDefault="0010515D" w:rsidP="0045332F"/>
    <w:p w14:paraId="08AA32FB" w14:textId="77777777" w:rsidR="0010515D" w:rsidRDefault="0010515D" w:rsidP="0010515D">
      <w:r>
        <w:t>Excluded is work currently being done in ISO/IEC JTC 1 SC 37 and INCITS M1, unless in coordination with the appropriate SDO(s).</w:t>
      </w:r>
    </w:p>
    <w:p w14:paraId="41256AF5" w14:textId="77777777" w:rsidR="0045332F" w:rsidRDefault="0045332F" w:rsidP="0045332F">
      <w:r>
        <w:t xml:space="preserve"> </w:t>
      </w:r>
    </w:p>
    <w:p w14:paraId="53850535" w14:textId="77777777" w:rsidR="0045332F" w:rsidRDefault="0045332F" w:rsidP="0045332F">
      <w:r>
        <w:t>(1)(d) List of Deliverables</w:t>
      </w:r>
    </w:p>
    <w:p w14:paraId="312591AE" w14:textId="77777777" w:rsidR="0045332F" w:rsidRDefault="0045332F" w:rsidP="0045332F">
      <w:r>
        <w:t xml:space="preserve"> </w:t>
      </w:r>
    </w:p>
    <w:p w14:paraId="0952885F" w14:textId="77777777" w:rsidR="0045332F" w:rsidRDefault="0045332F" w:rsidP="0045332F">
      <w:r>
        <w:t>* WS-Biometric Devices (WS-BD) v1.0</w:t>
      </w:r>
    </w:p>
    <w:p w14:paraId="3E4654EA" w14:textId="2FE5E685" w:rsidR="0045332F" w:rsidRDefault="0045332F" w:rsidP="0045332F">
      <w:r>
        <w:t>* Biometric Identity Assurance Services (BIAS) Profile Standards aligning to ISO/IEC 30108</w:t>
      </w:r>
    </w:p>
    <w:p w14:paraId="2B347BE3" w14:textId="6012B735" w:rsidR="0045332F" w:rsidRDefault="0045332F" w:rsidP="0045332F">
      <w:r>
        <w:t xml:space="preserve">* Other standards, guidelines, recommendations, and deliverables as initiated and approved by the Committee. </w:t>
      </w:r>
    </w:p>
    <w:p w14:paraId="17817601" w14:textId="77777777" w:rsidR="0045332F" w:rsidRDefault="0045332F" w:rsidP="0045332F">
      <w:r>
        <w:t xml:space="preserve"> </w:t>
      </w:r>
    </w:p>
    <w:p w14:paraId="5C98C33A" w14:textId="77777777" w:rsidR="0045332F" w:rsidRDefault="0045332F" w:rsidP="0045332F">
      <w:r>
        <w:t>(1)(e) IPR Mode</w:t>
      </w:r>
    </w:p>
    <w:p w14:paraId="6B86711E" w14:textId="77777777" w:rsidR="0045332F" w:rsidRDefault="0045332F" w:rsidP="0045332F">
      <w:r>
        <w:t xml:space="preserve"> </w:t>
      </w:r>
    </w:p>
    <w:p w14:paraId="1FAE7F11" w14:textId="77777777" w:rsidR="0045332F" w:rsidRDefault="0045332F" w:rsidP="0045332F">
      <w:r>
        <w:lastRenderedPageBreak/>
        <w:t>The Technical Committee will operate under the "RAND" mode of the OASIS IPR Policy [https://www.oasis-open.org/policies-guidelines/ipr#s10.2.3].</w:t>
      </w:r>
    </w:p>
    <w:p w14:paraId="044D69B3" w14:textId="77777777" w:rsidR="0045332F" w:rsidRDefault="0045332F" w:rsidP="0045332F">
      <w:r>
        <w:t xml:space="preserve"> </w:t>
      </w:r>
    </w:p>
    <w:p w14:paraId="28DCA62F" w14:textId="77777777" w:rsidR="0045332F" w:rsidRDefault="0045332F" w:rsidP="0045332F">
      <w:r>
        <w:t>(1)(f) Anticipated Audience or Users</w:t>
      </w:r>
    </w:p>
    <w:p w14:paraId="33E02EB8" w14:textId="77777777" w:rsidR="0045332F" w:rsidRDefault="0045332F" w:rsidP="0045332F">
      <w:r>
        <w:t xml:space="preserve"> </w:t>
      </w:r>
    </w:p>
    <w:p w14:paraId="3A6D13EC" w14:textId="77777777" w:rsidR="0045332F" w:rsidRDefault="0045332F" w:rsidP="0045332F">
      <w:r>
        <w:t>The primary audience of the work produced by the Technical Committee will be the biometrics community, the authentication community, and the identity management community.</w:t>
      </w:r>
    </w:p>
    <w:p w14:paraId="05A21EBA" w14:textId="77777777" w:rsidR="0045332F" w:rsidRDefault="0045332F" w:rsidP="0045332F">
      <w:r>
        <w:t xml:space="preserve"> </w:t>
      </w:r>
    </w:p>
    <w:p w14:paraId="37817ED1" w14:textId="77777777" w:rsidR="0045332F" w:rsidRDefault="0045332F" w:rsidP="0045332F">
      <w:r>
        <w:t>(1)(g) Language</w:t>
      </w:r>
    </w:p>
    <w:p w14:paraId="7DEAE912" w14:textId="77777777" w:rsidR="0045332F" w:rsidRDefault="0045332F" w:rsidP="0045332F">
      <w:r>
        <w:t xml:space="preserve"> </w:t>
      </w:r>
    </w:p>
    <w:p w14:paraId="37FC4CE1" w14:textId="77777777" w:rsidR="0045332F" w:rsidRDefault="0045332F" w:rsidP="0045332F">
      <w:r>
        <w:t>English shall be the language used to conduct business within the Technical Committee. The Technical Committee may elect to form subcommittees to produce localized documentation of the Committee’s work in additional languages.</w:t>
      </w:r>
    </w:p>
    <w:p w14:paraId="651E1898" w14:textId="77777777" w:rsidR="0045332F" w:rsidRDefault="0045332F" w:rsidP="0045332F">
      <w:r>
        <w:t xml:space="preserve"> </w:t>
      </w:r>
    </w:p>
    <w:p w14:paraId="4EA27CA6" w14:textId="77777777" w:rsidR="0045332F" w:rsidRDefault="0045332F" w:rsidP="0045332F">
      <w:r>
        <w:t>(2) Non-Normative Information Regarding TC</w:t>
      </w:r>
    </w:p>
    <w:p w14:paraId="4A94C8B1" w14:textId="77777777" w:rsidR="0045332F" w:rsidRDefault="0045332F" w:rsidP="0045332F">
      <w:r>
        <w:t xml:space="preserve"> </w:t>
      </w:r>
    </w:p>
    <w:p w14:paraId="48E406B7" w14:textId="77777777" w:rsidR="0045332F" w:rsidRDefault="0045332F" w:rsidP="0045332F">
      <w:r>
        <w:t>(2)(a) Similar or Applicable Work</w:t>
      </w:r>
    </w:p>
    <w:p w14:paraId="2DA478F9" w14:textId="7777F223" w:rsidR="0000548E" w:rsidRDefault="0045332F" w:rsidP="0045332F">
      <w:r>
        <w:t xml:space="preserve"> </w:t>
      </w:r>
    </w:p>
    <w:p w14:paraId="38A0F985" w14:textId="77777777" w:rsidR="00B23360" w:rsidRDefault="0000548E" w:rsidP="0045332F">
      <w:r>
        <w:t>This TC will succeed the OASIS Biometrics TC. The IPR mode of the Biometrics TC limits participation from</w:t>
      </w:r>
      <w:r w:rsidR="007F78B8">
        <w:t xml:space="preserve"> the biometrics industry and community stakeholders</w:t>
      </w:r>
      <w:r>
        <w:t>.</w:t>
      </w:r>
      <w:r w:rsidR="00936C84">
        <w:t xml:space="preserve"> </w:t>
      </w:r>
    </w:p>
    <w:p w14:paraId="45D6BA5C" w14:textId="77777777" w:rsidR="00B23360" w:rsidRDefault="00B23360" w:rsidP="0045332F"/>
    <w:p w14:paraId="59B82BF8" w14:textId="77777777" w:rsidR="00B23360" w:rsidRDefault="00936C84" w:rsidP="0045332F">
      <w:r>
        <w:t>By succeeding the Biometrics TC, o</w:t>
      </w:r>
      <w:r w:rsidR="0045332F">
        <w:t xml:space="preserve">ther committees from within OASIS can </w:t>
      </w:r>
      <w:r>
        <w:t xml:space="preserve">still </w:t>
      </w:r>
      <w:r w:rsidR="0045332F">
        <w:t xml:space="preserve">have </w:t>
      </w:r>
      <w:r>
        <w:t>coordinated forum</w:t>
      </w:r>
      <w:r w:rsidR="0045332F">
        <w:t xml:space="preserve"> of biometrics standards work being performed. </w:t>
      </w:r>
    </w:p>
    <w:p w14:paraId="68AA8B09" w14:textId="77777777" w:rsidR="00B23360" w:rsidRDefault="00B23360" w:rsidP="0045332F"/>
    <w:p w14:paraId="0283A939" w14:textId="097BAD0D" w:rsidR="0045332F" w:rsidRDefault="0045332F" w:rsidP="0045332F">
      <w:r>
        <w:t>Committees focusing on, but not limited to, authentication, e-authentication, and privacy and identity may be able to leverage this work within their own projects. Within the US, INCITS M1 working groups focus on biometrics activities but not related to web services; this is the same within ISO/IEC JTC 1 SC 37. The new committee plans to coordinate and maintain liaison relationships with both committees as well as other committees as discovered.</w:t>
      </w:r>
    </w:p>
    <w:p w14:paraId="0FFF909B" w14:textId="77777777" w:rsidR="0045332F" w:rsidRDefault="0045332F" w:rsidP="0045332F">
      <w:r>
        <w:t xml:space="preserve"> </w:t>
      </w:r>
    </w:p>
    <w:p w14:paraId="5A5B33D2" w14:textId="150468D3" w:rsidR="0045332F" w:rsidRDefault="0045332F" w:rsidP="0045332F">
      <w:r>
        <w:t xml:space="preserve">Activity supporting biometric standardization </w:t>
      </w:r>
      <w:r w:rsidR="000B3626">
        <w:t>i</w:t>
      </w:r>
      <w:r>
        <w:t xml:space="preserve">s underway in many venues worldwide, in de jure bodies (international, national, regional) and in de facto SSOs/SDOs, industry trade groups, inter-agency projects, etc. The OASIS Biometrics </w:t>
      </w:r>
      <w:r w:rsidR="000B3626">
        <w:t xml:space="preserve">2.0 </w:t>
      </w:r>
      <w:r>
        <w:t>TC will seek to align its technical activities and deliverables with these other standardization initiatives in order to support harmonized vocabularies, avoid pointless duplication of effort, and promote interoperability of biometric data exchange and machine processing.</w:t>
      </w:r>
    </w:p>
    <w:p w14:paraId="77DFE1E4" w14:textId="77777777" w:rsidR="0045332F" w:rsidRDefault="0045332F" w:rsidP="0045332F">
      <w:r>
        <w:t xml:space="preserve"> </w:t>
      </w:r>
    </w:p>
    <w:p w14:paraId="62E9E987" w14:textId="0C9EB3AB" w:rsidR="0045332F" w:rsidRDefault="0045332F" w:rsidP="0045332F">
      <w:r>
        <w:t xml:space="preserve">Further, the OASIS Biometrics </w:t>
      </w:r>
      <w:r w:rsidR="000B3626">
        <w:t xml:space="preserve">2.0 </w:t>
      </w:r>
      <w:r>
        <w:t>TC will seek to establish working relationships with other standardization projects in the form of TC Liaisons as may be appropriate for any of its specification development activities.</w:t>
      </w:r>
    </w:p>
    <w:p w14:paraId="42B0CA11" w14:textId="77777777" w:rsidR="0045332F" w:rsidRDefault="0045332F" w:rsidP="0045332F">
      <w:r>
        <w:t xml:space="preserve"> </w:t>
      </w:r>
    </w:p>
    <w:p w14:paraId="1344C8D8" w14:textId="77777777" w:rsidR="0045332F" w:rsidRDefault="0045332F" w:rsidP="0045332F">
      <w:r>
        <w:t>(2)(b) Date, Time, and Location of First Meeting</w:t>
      </w:r>
    </w:p>
    <w:p w14:paraId="50D9B1B4" w14:textId="77777777" w:rsidR="0045332F" w:rsidRDefault="0045332F" w:rsidP="0045332F">
      <w:r>
        <w:t xml:space="preserve"> </w:t>
      </w:r>
    </w:p>
    <w:p w14:paraId="4A8318D0" w14:textId="77777777" w:rsidR="0045332F" w:rsidRDefault="0045332F" w:rsidP="0045332F">
      <w:r>
        <w:t>(2)(c) Ongoing Meeting Plans and Sponsors</w:t>
      </w:r>
    </w:p>
    <w:p w14:paraId="225BB5E9" w14:textId="77777777" w:rsidR="0045332F" w:rsidRDefault="0045332F" w:rsidP="0045332F">
      <w:r>
        <w:t xml:space="preserve"> </w:t>
      </w:r>
    </w:p>
    <w:p w14:paraId="335E7706" w14:textId="14600F07" w:rsidR="0045332F" w:rsidRDefault="0045332F" w:rsidP="0045332F">
      <w:r>
        <w:t>The TC expects to meet monthly by conference call</w:t>
      </w:r>
      <w:r w:rsidR="008805D0">
        <w:t>.</w:t>
      </w:r>
    </w:p>
    <w:p w14:paraId="4A08F0AE" w14:textId="77777777" w:rsidR="0045332F" w:rsidRDefault="0045332F" w:rsidP="0045332F">
      <w:r>
        <w:t xml:space="preserve"> </w:t>
      </w:r>
    </w:p>
    <w:p w14:paraId="54061256" w14:textId="77777777" w:rsidR="0045332F" w:rsidRDefault="0045332F" w:rsidP="0045332F">
      <w:r>
        <w:t>(2)(d) Proposers of the TC</w:t>
      </w:r>
    </w:p>
    <w:p w14:paraId="5F76C65C" w14:textId="616892AC" w:rsidR="006802A1" w:rsidRDefault="006802A1" w:rsidP="0045332F">
      <w:bookmarkStart w:id="0" w:name="_GoBack"/>
      <w:bookmarkEnd w:id="0"/>
    </w:p>
    <w:p w14:paraId="5C491818" w14:textId="77777777" w:rsidR="006802A1" w:rsidRDefault="006802A1" w:rsidP="006802A1">
      <w:pPr>
        <w:rPr>
          <w:rFonts w:eastAsia="Times New Roman" w:cstheme="minorHAnsi"/>
          <w:sz w:val="24"/>
          <w:szCs w:val="24"/>
        </w:rPr>
      </w:pPr>
      <w:r>
        <w:rPr>
          <w:rFonts w:eastAsia="Times New Roman" w:cstheme="minorHAnsi"/>
          <w:sz w:val="24"/>
          <w:szCs w:val="24"/>
        </w:rPr>
        <w:lastRenderedPageBreak/>
        <w:t xml:space="preserve">1. Kevin Mangold, </w:t>
      </w:r>
      <w:hyperlink r:id="rId8" w:history="1">
        <w:r>
          <w:rPr>
            <w:rStyle w:val="Hyperlink"/>
            <w:rFonts w:eastAsia="Times New Roman" w:cstheme="minorHAnsi"/>
            <w:sz w:val="24"/>
            <w:szCs w:val="24"/>
          </w:rPr>
          <w:t>kevin.mangold@nist.gov</w:t>
        </w:r>
      </w:hyperlink>
      <w:r>
        <w:rPr>
          <w:rFonts w:eastAsia="Times New Roman" w:cstheme="minorHAnsi"/>
          <w:sz w:val="24"/>
          <w:szCs w:val="24"/>
        </w:rPr>
        <w:t>, US National Institute of Standards and Technology (NIST)</w:t>
      </w:r>
    </w:p>
    <w:p w14:paraId="7B2E3BA3" w14:textId="09513A5C" w:rsidR="006802A1" w:rsidRDefault="006802A1" w:rsidP="006802A1">
      <w:pPr>
        <w:rPr>
          <w:rFonts w:eastAsia="Times New Roman" w:cstheme="minorHAnsi"/>
          <w:sz w:val="24"/>
          <w:szCs w:val="24"/>
        </w:rPr>
      </w:pPr>
      <w:r>
        <w:rPr>
          <w:rFonts w:eastAsia="Times New Roman" w:cstheme="minorHAnsi"/>
          <w:sz w:val="24"/>
          <w:szCs w:val="24"/>
        </w:rPr>
        <w:t xml:space="preserve">2. Ross Micheals, </w:t>
      </w:r>
      <w:hyperlink r:id="rId9" w:history="1">
        <w:r>
          <w:rPr>
            <w:rStyle w:val="Hyperlink"/>
            <w:rFonts w:eastAsia="Times New Roman" w:cstheme="minorHAnsi"/>
            <w:sz w:val="24"/>
            <w:szCs w:val="24"/>
          </w:rPr>
          <w:t>ross.micheals@nist.gov</w:t>
        </w:r>
      </w:hyperlink>
      <w:r>
        <w:rPr>
          <w:rFonts w:eastAsia="Times New Roman" w:cstheme="minorHAnsi"/>
          <w:sz w:val="24"/>
          <w:szCs w:val="24"/>
        </w:rPr>
        <w:t>, US National Institute of Standards and Technology (NIST)</w:t>
      </w:r>
    </w:p>
    <w:p w14:paraId="0C389678" w14:textId="61AD0F03" w:rsidR="006802A1" w:rsidRDefault="006802A1" w:rsidP="006802A1">
      <w:pPr>
        <w:rPr>
          <w:rFonts w:eastAsia="Times New Roman" w:cstheme="minorHAnsi"/>
          <w:sz w:val="24"/>
          <w:szCs w:val="24"/>
        </w:rPr>
      </w:pPr>
      <w:r>
        <w:rPr>
          <w:rFonts w:eastAsia="Times New Roman" w:cstheme="minorHAnsi"/>
          <w:sz w:val="24"/>
          <w:szCs w:val="24"/>
        </w:rPr>
        <w:t xml:space="preserve">3. Kayee Hanaoka, </w:t>
      </w:r>
      <w:hyperlink r:id="rId10" w:history="1">
        <w:r w:rsidR="008225F1" w:rsidRPr="00000314">
          <w:rPr>
            <w:rStyle w:val="Hyperlink"/>
            <w:rFonts w:eastAsia="Times New Roman" w:cstheme="minorHAnsi"/>
            <w:sz w:val="24"/>
            <w:szCs w:val="24"/>
          </w:rPr>
          <w:t>kayee@nist.gov</w:t>
        </w:r>
      </w:hyperlink>
      <w:r w:rsidR="008225F1">
        <w:rPr>
          <w:rFonts w:eastAsia="Times New Roman" w:cstheme="minorHAnsi"/>
          <w:sz w:val="24"/>
          <w:szCs w:val="24"/>
        </w:rPr>
        <w:t>,</w:t>
      </w:r>
      <w:r>
        <w:rPr>
          <w:rFonts w:eastAsia="Times New Roman" w:cstheme="minorHAnsi"/>
          <w:sz w:val="24"/>
          <w:szCs w:val="24"/>
        </w:rPr>
        <w:t xml:space="preserve"> US National Institute of Standards and Technology (NIST)</w:t>
      </w:r>
    </w:p>
    <w:p w14:paraId="212DB8A1" w14:textId="5AEE02A0" w:rsidR="006802A1" w:rsidRDefault="006802A1" w:rsidP="006802A1">
      <w:pPr>
        <w:rPr>
          <w:rFonts w:eastAsia="Times New Roman" w:cstheme="minorHAnsi"/>
          <w:sz w:val="24"/>
          <w:szCs w:val="24"/>
        </w:rPr>
      </w:pPr>
      <w:r>
        <w:rPr>
          <w:rFonts w:eastAsia="Times New Roman" w:cstheme="minorHAnsi"/>
          <w:sz w:val="24"/>
          <w:szCs w:val="24"/>
        </w:rPr>
        <w:t xml:space="preserve">4. Karen Marshall, </w:t>
      </w:r>
      <w:hyperlink r:id="rId11" w:history="1">
        <w:r w:rsidR="00B30A36" w:rsidRPr="005B23B0">
          <w:rPr>
            <w:rStyle w:val="Hyperlink"/>
            <w:rFonts w:eastAsia="Times New Roman" w:cstheme="minorHAnsi"/>
            <w:sz w:val="24"/>
            <w:szCs w:val="24"/>
          </w:rPr>
          <w:t>karenm@nist.gov</w:t>
        </w:r>
      </w:hyperlink>
      <w:r>
        <w:rPr>
          <w:rFonts w:eastAsia="Times New Roman" w:cstheme="minorHAnsi"/>
          <w:sz w:val="24"/>
          <w:szCs w:val="24"/>
        </w:rPr>
        <w:t>, US National Institute of Standards and Technology (NIST)</w:t>
      </w:r>
    </w:p>
    <w:p w14:paraId="64E6D95F" w14:textId="25FE2066" w:rsidR="006802A1" w:rsidRDefault="006802A1" w:rsidP="006802A1">
      <w:pPr>
        <w:rPr>
          <w:rFonts w:eastAsia="Times New Roman" w:cstheme="minorHAnsi"/>
          <w:sz w:val="24"/>
          <w:szCs w:val="24"/>
        </w:rPr>
      </w:pPr>
      <w:r>
        <w:rPr>
          <w:rFonts w:eastAsia="Times New Roman" w:cstheme="minorHAnsi"/>
          <w:sz w:val="24"/>
          <w:szCs w:val="24"/>
        </w:rPr>
        <w:t>5. Cathy Tilton,</w:t>
      </w:r>
      <w:r>
        <w:t xml:space="preserve"> </w:t>
      </w:r>
      <w:hyperlink r:id="rId12" w:history="1">
        <w:r>
          <w:rPr>
            <w:rStyle w:val="Hyperlink"/>
            <w:rFonts w:eastAsia="Times New Roman" w:cstheme="minorHAnsi"/>
            <w:sz w:val="24"/>
            <w:szCs w:val="24"/>
          </w:rPr>
          <w:t>cathy.tilton@daon.com</w:t>
        </w:r>
      </w:hyperlink>
      <w:r>
        <w:rPr>
          <w:rFonts w:eastAsia="Times New Roman" w:cstheme="minorHAnsi"/>
          <w:sz w:val="24"/>
          <w:szCs w:val="24"/>
        </w:rPr>
        <w:t>, Daon</w:t>
      </w:r>
    </w:p>
    <w:p w14:paraId="61930D0D" w14:textId="77777777" w:rsidR="006802A1" w:rsidRDefault="006802A1" w:rsidP="0045332F"/>
    <w:p w14:paraId="07FA3FE4" w14:textId="77777777" w:rsidR="0045332F" w:rsidRDefault="0045332F" w:rsidP="0045332F">
      <w:r>
        <w:t xml:space="preserve"> </w:t>
      </w:r>
    </w:p>
    <w:p w14:paraId="2671CEB8" w14:textId="77777777" w:rsidR="0045332F" w:rsidRDefault="0045332F" w:rsidP="0045332F">
      <w:r>
        <w:t>(2)(e) Statements of Support</w:t>
      </w:r>
    </w:p>
    <w:p w14:paraId="7669CE5D" w14:textId="34D88AED" w:rsidR="00AE7B19" w:rsidRDefault="00AE7B19" w:rsidP="0045332F"/>
    <w:p w14:paraId="7F3BD147" w14:textId="0FD95E73" w:rsidR="00AE7B19" w:rsidRDefault="00AE7B19" w:rsidP="0045332F">
      <w:r w:rsidRPr="00AE7B19">
        <w:t xml:space="preserve">"I, Catherine Tilton, </w:t>
      </w:r>
      <w:hyperlink r:id="rId13" w:history="1">
        <w:r w:rsidRPr="00CE661F">
          <w:rPr>
            <w:rStyle w:val="Hyperlink"/>
          </w:rPr>
          <w:t>cathy.tilton@daon.com</w:t>
        </w:r>
      </w:hyperlink>
      <w:r w:rsidRPr="00AE7B19">
        <w:t>, Daon's primary representative to OASIS, approve the Biometrics</w:t>
      </w:r>
      <w:r w:rsidR="009035E1">
        <w:rPr>
          <w:color w:val="FF0000"/>
        </w:rPr>
        <w:t xml:space="preserve"> Services </w:t>
      </w:r>
      <w:r w:rsidRPr="00AE7B19">
        <w:t>TC charter and endorse all Daon proposers listed in (2)(d)."</w:t>
      </w:r>
    </w:p>
    <w:p w14:paraId="4CB9CB67" w14:textId="15EAD140" w:rsidR="00C50D83" w:rsidRDefault="00C50D83" w:rsidP="0045332F"/>
    <w:p w14:paraId="18A1E56A" w14:textId="08200C3D" w:rsidR="00C50D83" w:rsidRDefault="00C50D83" w:rsidP="0045332F">
      <w:r>
        <w:t>"</w:t>
      </w:r>
      <w:r w:rsidRPr="00C50D83">
        <w:t>I, Elaine Newton, elaine.newton@nist.gov, NIST’s alternate representative to OASIS, approve the Biometrics</w:t>
      </w:r>
      <w:r w:rsidR="004D1F60">
        <w:t xml:space="preserve"> </w:t>
      </w:r>
      <w:r w:rsidR="009035E1">
        <w:rPr>
          <w:color w:val="FF0000"/>
        </w:rPr>
        <w:t xml:space="preserve">Services </w:t>
      </w:r>
      <w:r w:rsidRPr="00C50D83">
        <w:t>charter and endorse all NIST proposers listed in (2)(d).</w:t>
      </w:r>
      <w:r>
        <w:t>"</w:t>
      </w:r>
    </w:p>
    <w:p w14:paraId="771427DB" w14:textId="77777777" w:rsidR="0045332F" w:rsidRDefault="0045332F" w:rsidP="0045332F">
      <w:r>
        <w:t xml:space="preserve"> </w:t>
      </w:r>
    </w:p>
    <w:p w14:paraId="5B49F38B" w14:textId="77777777" w:rsidR="0045332F" w:rsidRDefault="0045332F" w:rsidP="0045332F">
      <w:r>
        <w:t>(2)(f) TC Convener</w:t>
      </w:r>
    </w:p>
    <w:p w14:paraId="3F11066B" w14:textId="77777777" w:rsidR="0045332F" w:rsidRDefault="0045332F" w:rsidP="0045332F">
      <w:r>
        <w:t xml:space="preserve"> </w:t>
      </w:r>
    </w:p>
    <w:p w14:paraId="0B30186E" w14:textId="77777777" w:rsidR="0045332F" w:rsidRDefault="0045332F" w:rsidP="0045332F">
      <w:r>
        <w:t>Kevin Mangold, kevin.mangold@nist.gov, US National Institute of Standards and Technology (NIST) will be the convener.</w:t>
      </w:r>
    </w:p>
    <w:p w14:paraId="4F25FA78" w14:textId="77777777" w:rsidR="0045332F" w:rsidRDefault="0045332F" w:rsidP="0045332F">
      <w:r>
        <w:t xml:space="preserve"> </w:t>
      </w:r>
    </w:p>
    <w:p w14:paraId="7F06A482" w14:textId="77777777" w:rsidR="0045332F" w:rsidRDefault="0045332F" w:rsidP="0045332F">
      <w:r>
        <w:t>(2)(g) Member Section Affiliation</w:t>
      </w:r>
    </w:p>
    <w:p w14:paraId="3CE2040A" w14:textId="77777777" w:rsidR="0045332F" w:rsidRDefault="0045332F" w:rsidP="0045332F">
      <w:r>
        <w:t xml:space="preserve"> </w:t>
      </w:r>
    </w:p>
    <w:p w14:paraId="45C1D45D" w14:textId="77777777" w:rsidR="0045332F" w:rsidRDefault="0045332F" w:rsidP="0045332F">
      <w:r>
        <w:t>(2)(h) Initial Contributions</w:t>
      </w:r>
    </w:p>
    <w:p w14:paraId="37FCE0BB" w14:textId="77777777" w:rsidR="0045332F" w:rsidRDefault="0045332F" w:rsidP="0045332F">
      <w:r>
        <w:t xml:space="preserve"> </w:t>
      </w:r>
    </w:p>
    <w:p w14:paraId="7B4643D1" w14:textId="77777777" w:rsidR="0045332F" w:rsidRDefault="0045332F" w:rsidP="0045332F">
      <w:r>
        <w:t>NIST will contribute its "Specification for WS-Biometric Devices (WS-BD)" as a starting point for one of the key TC deliverables.</w:t>
      </w:r>
    </w:p>
    <w:p w14:paraId="51A4999E" w14:textId="77777777" w:rsidR="0045332F" w:rsidRDefault="0045332F" w:rsidP="0045332F">
      <w:r>
        <w:t xml:space="preserve"> </w:t>
      </w:r>
    </w:p>
    <w:p w14:paraId="32A6236F" w14:textId="77777777" w:rsidR="0045332F" w:rsidRDefault="0045332F" w:rsidP="0045332F">
      <w:r>
        <w:t>(2)(i) FAQ Document</w:t>
      </w:r>
    </w:p>
    <w:p w14:paraId="2AAA156B" w14:textId="77777777" w:rsidR="0045332F" w:rsidRDefault="0045332F" w:rsidP="0045332F">
      <w:r>
        <w:t xml:space="preserve"> </w:t>
      </w:r>
    </w:p>
    <w:p w14:paraId="5A047745" w14:textId="77777777" w:rsidR="0045332F" w:rsidRDefault="0045332F" w:rsidP="0045332F">
      <w:r>
        <w:t>(2)(j) Work Product Titles</w:t>
      </w:r>
    </w:p>
    <w:p w14:paraId="78608441" w14:textId="77777777" w:rsidR="0045332F" w:rsidRDefault="0045332F" w:rsidP="0045332F">
      <w:r>
        <w:t xml:space="preserve"> </w:t>
      </w:r>
    </w:p>
    <w:p w14:paraId="29BEAAED" w14:textId="77777777" w:rsidR="0045332F" w:rsidRDefault="0045332F" w:rsidP="0045332F">
      <w:r>
        <w:t xml:space="preserve"> </w:t>
      </w:r>
    </w:p>
    <w:p w14:paraId="12AFFC93" w14:textId="77777777" w:rsidR="0045332F" w:rsidRDefault="0045332F" w:rsidP="0045332F">
      <w:r>
        <w:t>=============================</w:t>
      </w:r>
    </w:p>
    <w:p w14:paraId="047948E8" w14:textId="77777777" w:rsidR="0045332F" w:rsidRDefault="0045332F" w:rsidP="0045332F">
      <w:r>
        <w:t>References</w:t>
      </w:r>
    </w:p>
    <w:p w14:paraId="3BEE93EB" w14:textId="77777777" w:rsidR="0045332F" w:rsidRDefault="0045332F" w:rsidP="0045332F">
      <w:r>
        <w:t>=============================</w:t>
      </w:r>
    </w:p>
    <w:p w14:paraId="4AAD7B95" w14:textId="77777777" w:rsidR="0045332F" w:rsidRDefault="0045332F" w:rsidP="0045332F">
      <w:r>
        <w:t xml:space="preserve"> </w:t>
      </w:r>
    </w:p>
    <w:p w14:paraId="7C6ADB77" w14:textId="77777777" w:rsidR="0045332F" w:rsidRDefault="0045332F" w:rsidP="0045332F">
      <w:r>
        <w:t>[1] Specification for WS-Biometric Devices (WS-BD)</w:t>
      </w:r>
    </w:p>
    <w:p w14:paraId="2A726A5B" w14:textId="77777777" w:rsidR="0045332F" w:rsidRDefault="0045332F" w:rsidP="0045332F">
      <w:r>
        <w:t xml:space="preserve">    NIST Special Publication 500-288, Version 1, March 2012</w:t>
      </w:r>
    </w:p>
    <w:p w14:paraId="0266DDEF" w14:textId="77777777" w:rsidR="0045332F" w:rsidRDefault="0045332F" w:rsidP="0045332F">
      <w:r>
        <w:t xml:space="preserve">    http://www.nist.gov/itl/iad/ig/upload/NIST-SP-500-288-v1.pdf</w:t>
      </w:r>
    </w:p>
    <w:p w14:paraId="3F5CC821" w14:textId="77777777" w:rsidR="0045332F" w:rsidRDefault="0045332F" w:rsidP="0045332F">
      <w:r>
        <w:t xml:space="preserve"> </w:t>
      </w:r>
    </w:p>
    <w:p w14:paraId="3974AC1E" w14:textId="296C919D" w:rsidR="0045332F" w:rsidRDefault="0045332F" w:rsidP="0045332F">
      <w:r>
        <w:t>Summary: "WS-Biometric Devices is a protocol which focuses on</w:t>
      </w:r>
      <w:r w:rsidR="00A360A7">
        <w:t xml:space="preserve"> </w:t>
      </w:r>
      <w:r>
        <w:t>the single process shared by all biometric systems: acquisition</w:t>
      </w:r>
      <w:r w:rsidR="00A360A7">
        <w:t xml:space="preserve"> </w:t>
      </w:r>
      <w:r>
        <w:t>("capturing a biometric sample with the intention of creating</w:t>
      </w:r>
      <w:r w:rsidR="00A360A7">
        <w:t xml:space="preserve"> </w:t>
      </w:r>
      <w:r>
        <w:t>either a biometric reference or biometric probe"). The specification provides a framework for deploying and invoking</w:t>
      </w:r>
      <w:r w:rsidR="00A360A7">
        <w:t xml:space="preserve"> </w:t>
      </w:r>
      <w:r>
        <w:t>core synchronous operations via lightweight web service protocols for the command and control of biometric sensors.</w:t>
      </w:r>
      <w:r w:rsidR="00A360A7">
        <w:t xml:space="preserve"> </w:t>
      </w:r>
      <w:r>
        <w:t>The design of this specification is influenced heavily by the</w:t>
      </w:r>
      <w:r w:rsidR="00A360A7">
        <w:t xml:space="preserve"> </w:t>
      </w:r>
      <w:r>
        <w:t xml:space="preserve">REST </w:t>
      </w:r>
      <w:r>
        <w:lastRenderedPageBreak/>
        <w:t>architecture; deviations and tradeoffs were made to</w:t>
      </w:r>
      <w:r w:rsidR="00A360A7">
        <w:t xml:space="preserve"> </w:t>
      </w:r>
      <w:r>
        <w:t>accommodate the inherent mismatches between the REST design</w:t>
      </w:r>
      <w:r w:rsidR="00A360A7">
        <w:t xml:space="preserve"> </w:t>
      </w:r>
      <w:r>
        <w:t>goals and the limitations of devices that are (typically)</w:t>
      </w:r>
      <w:r w:rsidR="00A360A7">
        <w:t xml:space="preserve"> </w:t>
      </w:r>
      <w:r>
        <w:t>oriented for a single-user."</w:t>
      </w:r>
    </w:p>
    <w:p w14:paraId="4BFBC231" w14:textId="77777777" w:rsidR="0045332F" w:rsidRDefault="0045332F" w:rsidP="0045332F">
      <w:r>
        <w:t xml:space="preserve"> </w:t>
      </w:r>
    </w:p>
    <w:p w14:paraId="1455B84E" w14:textId="77777777" w:rsidR="0045332F" w:rsidRDefault="0045332F" w:rsidP="0045332F">
      <w:r>
        <w:t>[2] NIST Biometric Web Services</w:t>
      </w:r>
    </w:p>
    <w:p w14:paraId="378C4E65" w14:textId="77777777" w:rsidR="0045332F" w:rsidRDefault="0045332F" w:rsidP="0045332F">
      <w:r>
        <w:t>Including Reference Implementation for Biometric Identity Assurance Services</w:t>
      </w:r>
    </w:p>
    <w:p w14:paraId="1CA84C2A" w14:textId="77777777" w:rsidR="0045332F" w:rsidRDefault="0045332F" w:rsidP="0045332F">
      <w:r>
        <w:t>http://www.nist.gov/itl/iad/ig/bws.cfm</w:t>
      </w:r>
    </w:p>
    <w:p w14:paraId="7F7EA811" w14:textId="77777777" w:rsidR="0045332F" w:rsidRDefault="0045332F" w:rsidP="0045332F">
      <w:r>
        <w:t xml:space="preserve"> </w:t>
      </w:r>
    </w:p>
    <w:p w14:paraId="390298F3" w14:textId="77777777" w:rsidR="0045332F" w:rsidRDefault="0045332F" w:rsidP="0045332F">
      <w:r>
        <w:t>[3] Biometric Identity Assurance Services (BIAS) SOAP Profile Version 1.0</w:t>
      </w:r>
    </w:p>
    <w:p w14:paraId="33B27706" w14:textId="77777777" w:rsidR="0045332F" w:rsidRDefault="0045332F" w:rsidP="0045332F">
      <w:r>
        <w:t xml:space="preserve">    OASIS Standard, 24 May 2012</w:t>
      </w:r>
    </w:p>
    <w:p w14:paraId="608CE55D" w14:textId="77777777" w:rsidR="0045332F" w:rsidRDefault="0045332F" w:rsidP="0045332F">
      <w:r>
        <w:t xml:space="preserve">    http://docs.oasis-open.org/bias/soap-profile/v1.0/os/biasprofile-v1.0-os.html</w:t>
      </w:r>
    </w:p>
    <w:p w14:paraId="184805DE" w14:textId="77777777" w:rsidR="0045332F" w:rsidRDefault="0045332F" w:rsidP="0045332F">
      <w:r>
        <w:t xml:space="preserve"> </w:t>
      </w:r>
    </w:p>
    <w:p w14:paraId="661A91B3" w14:textId="001D9756" w:rsidR="0045332F" w:rsidRDefault="0045332F" w:rsidP="0045332F">
      <w:r>
        <w:t>Summary: This profile specifies how to use the Extensible Markup</w:t>
      </w:r>
      <w:r w:rsidR="00A360A7">
        <w:t xml:space="preserve"> </w:t>
      </w:r>
      <w:r>
        <w:t xml:space="preserve">Language (XML) defined in ANSI INCITS 442-2010 </w:t>
      </w:r>
      <w:r w:rsidR="00A360A7">
        <w:t>–</w:t>
      </w:r>
      <w:r>
        <w:t xml:space="preserve"> Biometric</w:t>
      </w:r>
      <w:r w:rsidR="00A360A7">
        <w:t xml:space="preserve"> </w:t>
      </w:r>
      <w:r>
        <w:t>Identity Assurance Services to invoke Simple Object Access</w:t>
      </w:r>
      <w:r w:rsidR="00A360A7">
        <w:t xml:space="preserve"> </w:t>
      </w:r>
      <w:r>
        <w:t>Protocol (SOAP)-based services that implement BIAS operations.</w:t>
      </w:r>
      <w:r w:rsidR="00A360A7">
        <w:t xml:space="preserve"> </w:t>
      </w:r>
      <w:r>
        <w:t>These SOAP-based services enable an application to invoke biometric identity assurance operations remotely in a Services</w:t>
      </w:r>
      <w:r w:rsidR="00A360A7">
        <w:t xml:space="preserve"> </w:t>
      </w:r>
      <w:r>
        <w:t>Oriented Architecture (SOA) infrastructure. This OASIS BIAS profile specifies the design concepts and architecture, data</w:t>
      </w:r>
      <w:r w:rsidR="00A360A7">
        <w:t xml:space="preserve"> </w:t>
      </w:r>
      <w:r>
        <w:t>model and data dictionary, message structure and rules, and</w:t>
      </w:r>
      <w:r w:rsidR="00A360A7">
        <w:t xml:space="preserve"> </w:t>
      </w:r>
      <w:r>
        <w:t>error handling necessary to invoke SOAP-based services that</w:t>
      </w:r>
      <w:r w:rsidR="00A360A7">
        <w:t xml:space="preserve"> </w:t>
      </w:r>
      <w:r>
        <w:t>implement BIAS operations. Together, the BIAS standard and the BIAS profile provide an open framework for deploying and</w:t>
      </w:r>
      <w:r w:rsidR="00A360A7">
        <w:t xml:space="preserve"> </w:t>
      </w:r>
      <w:r>
        <w:t>remotely invoking biometric-based identity assurance capabilities</w:t>
      </w:r>
      <w:r w:rsidR="00A360A7">
        <w:t xml:space="preserve"> </w:t>
      </w:r>
      <w:r>
        <w:t>that can be readily accessed across an SOA infrastructure."</w:t>
      </w:r>
    </w:p>
    <w:p w14:paraId="633F632A" w14:textId="77777777" w:rsidR="00A360A7" w:rsidRDefault="00A360A7" w:rsidP="0045332F"/>
    <w:p w14:paraId="24545F43" w14:textId="77777777" w:rsidR="0045332F" w:rsidRDefault="0045332F" w:rsidP="0045332F">
      <w:r>
        <w:t>[4] Biometrics in a Networked World (Kevin Mangold)</w:t>
      </w:r>
    </w:p>
    <w:p w14:paraId="53D76202" w14:textId="77777777" w:rsidR="0045332F" w:rsidRDefault="0045332F" w:rsidP="0045332F">
      <w:r>
        <w:t>http://www.planetbiometrics.com/article-details/i/1271/</w:t>
      </w:r>
    </w:p>
    <w:p w14:paraId="08D7CA4F" w14:textId="77777777" w:rsidR="0045332F" w:rsidRDefault="0045332F" w:rsidP="0045332F"/>
    <w:p w14:paraId="5978FB89" w14:textId="6E9DC781" w:rsidR="0045332F" w:rsidRDefault="0045332F" w:rsidP="0045332F">
      <w:r>
        <w:t>[</w:t>
      </w:r>
      <w:r w:rsidR="00A360A7">
        <w:t>5</w:t>
      </w:r>
      <w:r>
        <w:t>] OASIS Biometrics TC, https://www.oasis-open.org/committees/biometrics/</w:t>
      </w:r>
    </w:p>
    <w:p w14:paraId="11569183" w14:textId="77777777" w:rsidR="0045332F" w:rsidRDefault="0045332F" w:rsidP="0045332F"/>
    <w:p w14:paraId="411900CB" w14:textId="35FB962D" w:rsidR="0045332F" w:rsidRDefault="0045332F" w:rsidP="0045332F">
      <w:r>
        <w:t>** Biometric Standards: General References **</w:t>
      </w:r>
    </w:p>
    <w:p w14:paraId="77403A0B" w14:textId="77777777" w:rsidR="0045332F" w:rsidRDefault="0045332F" w:rsidP="0045332F">
      <w:r>
        <w:t xml:space="preserve"> </w:t>
      </w:r>
    </w:p>
    <w:p w14:paraId="75FFB114" w14:textId="77777777" w:rsidR="0045332F" w:rsidRDefault="0045332F" w:rsidP="0045332F">
      <w:r>
        <w:t>[6] Getting Started: Biometric Standards (Catherine J. Tilton)</w:t>
      </w:r>
    </w:p>
    <w:p w14:paraId="6D393A7C" w14:textId="77777777" w:rsidR="0045332F" w:rsidRDefault="0045332F" w:rsidP="0045332F">
      <w:r>
        <w:t xml:space="preserve">    http://www.planetbiometrics.com/article-details/i/499/</w:t>
      </w:r>
    </w:p>
    <w:p w14:paraId="47858861" w14:textId="77777777" w:rsidR="0045332F" w:rsidRDefault="0045332F" w:rsidP="0045332F">
      <w:r>
        <w:t xml:space="preserve"> </w:t>
      </w:r>
    </w:p>
    <w:p w14:paraId="68CDC947" w14:textId="77777777" w:rsidR="0045332F" w:rsidRDefault="0045332F" w:rsidP="0045332F">
      <w:r>
        <w:t>[7] Biometric Standards: Interview with Christoph Busch</w:t>
      </w:r>
    </w:p>
    <w:p w14:paraId="39AF930B" w14:textId="77777777" w:rsidR="0045332F" w:rsidRDefault="0045332F" w:rsidP="0045332F">
      <w:r>
        <w:t xml:space="preserve">    http://www.planetbiometrics.com/article-details/i/1172/</w:t>
      </w:r>
    </w:p>
    <w:p w14:paraId="1FA8D634" w14:textId="77777777" w:rsidR="0045332F" w:rsidRDefault="0045332F" w:rsidP="0045332F">
      <w:r>
        <w:t xml:space="preserve"> </w:t>
      </w:r>
    </w:p>
    <w:p w14:paraId="2B2E4E20" w14:textId="77777777" w:rsidR="0045332F" w:rsidRDefault="0045332F" w:rsidP="0045332F">
      <w:r>
        <w:t>[8] Advance of Biometric Standards: Fernando Podio</w:t>
      </w:r>
    </w:p>
    <w:p w14:paraId="2A77F52C" w14:textId="77777777" w:rsidR="0045332F" w:rsidRDefault="0045332F" w:rsidP="0045332F">
      <w:r>
        <w:t xml:space="preserve">    http://www.planetbiometrics.com/article-details/i/1130/</w:t>
      </w:r>
    </w:p>
    <w:p w14:paraId="570560C4" w14:textId="77777777" w:rsidR="0045332F" w:rsidRDefault="0045332F" w:rsidP="0045332F">
      <w:r>
        <w:t xml:space="preserve"> </w:t>
      </w:r>
    </w:p>
    <w:p w14:paraId="045E197F" w14:textId="6E14B30E" w:rsidR="0045332F" w:rsidRDefault="0045332F" w:rsidP="0045332F">
      <w:r>
        <w:t>** Biometric Standardization Venues **</w:t>
      </w:r>
    </w:p>
    <w:p w14:paraId="2904CBE5" w14:textId="77777777" w:rsidR="0045332F" w:rsidRDefault="0045332F" w:rsidP="0045332F">
      <w:r>
        <w:t xml:space="preserve"> </w:t>
      </w:r>
    </w:p>
    <w:p w14:paraId="380ED0DB" w14:textId="7EE05C9E" w:rsidR="0045332F" w:rsidRDefault="0045332F" w:rsidP="0045332F">
      <w:r>
        <w:t>[</w:t>
      </w:r>
      <w:r w:rsidR="00A360A7">
        <w:t>9</w:t>
      </w:r>
      <w:r>
        <w:t>] ISO/IEC JTC1 SC 37 (Biometrics)</w:t>
      </w:r>
    </w:p>
    <w:p w14:paraId="2B6F3208" w14:textId="77777777" w:rsidR="0045332F" w:rsidRDefault="0045332F" w:rsidP="0045332F">
      <w:r>
        <w:t>http://www.iso.org/iso/home/store/catalogue_tc/catalogue_tc_browse.htm?commid=313770</w:t>
      </w:r>
    </w:p>
    <w:p w14:paraId="63DF39E4" w14:textId="77777777" w:rsidR="0045332F" w:rsidRDefault="0045332F" w:rsidP="0045332F">
      <w:r>
        <w:t>http://www.christoph-busch.de/standards-sc37wg3.html</w:t>
      </w:r>
    </w:p>
    <w:p w14:paraId="05BCC9A1" w14:textId="77777777" w:rsidR="0045332F" w:rsidRDefault="0045332F" w:rsidP="0045332F">
      <w:r>
        <w:t xml:space="preserve"> </w:t>
      </w:r>
    </w:p>
    <w:p w14:paraId="368FEB3F" w14:textId="11635B5F" w:rsidR="0045332F" w:rsidRDefault="0045332F" w:rsidP="0045332F">
      <w:r>
        <w:t>[1</w:t>
      </w:r>
      <w:r w:rsidR="00A360A7">
        <w:t>0</w:t>
      </w:r>
      <w:r>
        <w:t>] ISO/IEC JTC 1/SC 17 (Cards and Personal Identification)</w:t>
      </w:r>
    </w:p>
    <w:p w14:paraId="4A40ADD9" w14:textId="77777777" w:rsidR="0045332F" w:rsidRDefault="0045332F" w:rsidP="0045332F">
      <w:r>
        <w:t>http://www.iso.org/iso/home/store/catalogue_tc/catalogue_tc_browse.htm?commid=45144</w:t>
      </w:r>
    </w:p>
    <w:p w14:paraId="2E5A2F21" w14:textId="77777777" w:rsidR="0045332F" w:rsidRDefault="0045332F" w:rsidP="0045332F">
      <w:r>
        <w:t xml:space="preserve"> </w:t>
      </w:r>
    </w:p>
    <w:p w14:paraId="54CEE1E6" w14:textId="29D0F5BA" w:rsidR="0045332F" w:rsidRDefault="00A360A7" w:rsidP="0045332F">
      <w:r>
        <w:t>[11</w:t>
      </w:r>
      <w:r w:rsidR="0045332F">
        <w:t>] ISO/IEC JTC 1/SC 27 (IT Security Techniques)</w:t>
      </w:r>
    </w:p>
    <w:p w14:paraId="1FBD1763" w14:textId="77777777" w:rsidR="0045332F" w:rsidRDefault="0045332F" w:rsidP="0045332F">
      <w:r>
        <w:t>http://www.iso.org/iso/home/store/catalogue_tc/catalogue_tc_browse.htm?commid=45306</w:t>
      </w:r>
    </w:p>
    <w:p w14:paraId="3436FAD8" w14:textId="77777777" w:rsidR="0045332F" w:rsidRDefault="0045332F" w:rsidP="0045332F">
      <w:r>
        <w:lastRenderedPageBreak/>
        <w:t xml:space="preserve"> </w:t>
      </w:r>
    </w:p>
    <w:p w14:paraId="3C420E0E" w14:textId="45819D04" w:rsidR="0045332F" w:rsidRDefault="00A360A7" w:rsidP="0045332F">
      <w:r>
        <w:t>[12</w:t>
      </w:r>
      <w:r w:rsidR="0045332F">
        <w:t>] ISO TC 68/SC 2 (Financial Services, Security)</w:t>
      </w:r>
    </w:p>
    <w:p w14:paraId="4D2203E7" w14:textId="77777777" w:rsidR="0045332F" w:rsidRDefault="0045332F" w:rsidP="0045332F">
      <w:r>
        <w:t>http://www.iso.org/iso/home/store/catalogue_tc/catalogue_tc_browse.htm?commid=49670</w:t>
      </w:r>
    </w:p>
    <w:p w14:paraId="2CFCA670" w14:textId="77777777" w:rsidR="0045332F" w:rsidRDefault="0045332F" w:rsidP="0045332F">
      <w:r>
        <w:t xml:space="preserve"> </w:t>
      </w:r>
    </w:p>
    <w:p w14:paraId="7389D147" w14:textId="21F0764F" w:rsidR="0045332F" w:rsidRDefault="00A360A7" w:rsidP="0045332F">
      <w:r>
        <w:t>[13</w:t>
      </w:r>
      <w:r w:rsidR="0045332F">
        <w:t>] INCITS/M1, Biometrics Technical Committee</w:t>
      </w:r>
    </w:p>
    <w:p w14:paraId="092E92A6" w14:textId="77777777" w:rsidR="0045332F" w:rsidRDefault="0045332F" w:rsidP="0045332F">
      <w:r>
        <w:t>http://standards.incits.org/a/public/group/m1</w:t>
      </w:r>
    </w:p>
    <w:p w14:paraId="5ABC9589" w14:textId="77777777" w:rsidR="0045332F" w:rsidRDefault="0045332F" w:rsidP="0045332F">
      <w:r>
        <w:t xml:space="preserve"> </w:t>
      </w:r>
    </w:p>
    <w:p w14:paraId="0FC1A18F" w14:textId="5D6B29E7" w:rsidR="0045332F" w:rsidRDefault="00A360A7" w:rsidP="0045332F">
      <w:r>
        <w:t>[14</w:t>
      </w:r>
      <w:r w:rsidR="0045332F">
        <w:t>] ITU-T Study Group 17 (SG17)</w:t>
      </w:r>
    </w:p>
    <w:p w14:paraId="125F96EF" w14:textId="77777777" w:rsidR="0045332F" w:rsidRDefault="0045332F" w:rsidP="0045332F">
      <w:r>
        <w:t>http://www.itu.int/net/ITU-T/info/sg17.aspx</w:t>
      </w:r>
    </w:p>
    <w:p w14:paraId="782E1A33" w14:textId="77777777" w:rsidR="0045332F" w:rsidRDefault="0045332F" w:rsidP="0045332F">
      <w:r>
        <w:t xml:space="preserve"> </w:t>
      </w:r>
    </w:p>
    <w:p w14:paraId="1BB00C64" w14:textId="4850F792" w:rsidR="0045332F" w:rsidRDefault="00A360A7" w:rsidP="0045332F">
      <w:r>
        <w:t>[15</w:t>
      </w:r>
      <w:r w:rsidR="0045332F">
        <w:t>] BioAPI Consortium</w:t>
      </w:r>
    </w:p>
    <w:p w14:paraId="4BD82787" w14:textId="77777777" w:rsidR="0045332F" w:rsidRDefault="0045332F" w:rsidP="0045332F">
      <w:r>
        <w:t>http://www.bioapi.org/</w:t>
      </w:r>
    </w:p>
    <w:p w14:paraId="3E713FA8" w14:textId="77777777" w:rsidR="0045332F" w:rsidRDefault="0045332F" w:rsidP="0045332F">
      <w:r>
        <w:t xml:space="preserve"> </w:t>
      </w:r>
    </w:p>
    <w:p w14:paraId="19A3F32A" w14:textId="47344F3E" w:rsidR="0045332F" w:rsidRDefault="00A360A7" w:rsidP="0045332F">
      <w:r>
        <w:t>[16</w:t>
      </w:r>
      <w:r w:rsidR="0045332F">
        <w:t>] International Biometric Industry Association (IBIA)</w:t>
      </w:r>
    </w:p>
    <w:p w14:paraId="41B451A6" w14:textId="77777777" w:rsidR="0045332F" w:rsidRDefault="0045332F" w:rsidP="0045332F">
      <w:r>
        <w:t>http://ibia.org/</w:t>
      </w:r>
    </w:p>
    <w:p w14:paraId="3DAD1A68" w14:textId="77777777" w:rsidR="0045332F" w:rsidRDefault="0045332F" w:rsidP="0045332F">
      <w:r>
        <w:t xml:space="preserve"> </w:t>
      </w:r>
    </w:p>
    <w:p w14:paraId="34DADE1A" w14:textId="13D9FF30" w:rsidR="0045332F" w:rsidRDefault="00A360A7" w:rsidP="0045332F">
      <w:r>
        <w:t>[17]</w:t>
      </w:r>
      <w:r w:rsidR="0045332F">
        <w:t xml:space="preserve"> NIST Information Technology Laboratory (ITL) for Biometrics</w:t>
      </w:r>
    </w:p>
    <w:p w14:paraId="4B874883" w14:textId="77777777" w:rsidR="0045332F" w:rsidRDefault="0045332F" w:rsidP="0045332F">
      <w:r>
        <w:t>http://www.nist.gov/biometrics-portal.cfm</w:t>
      </w:r>
    </w:p>
    <w:p w14:paraId="1FF5A4DB" w14:textId="77777777" w:rsidR="0045332F" w:rsidRDefault="0045332F" w:rsidP="0045332F">
      <w:r>
        <w:t xml:space="preserve"> </w:t>
      </w:r>
    </w:p>
    <w:p w14:paraId="2DC2222D" w14:textId="2D467256" w:rsidR="0045332F" w:rsidRDefault="0045332F" w:rsidP="0045332F">
      <w:r>
        <w:t>[1</w:t>
      </w:r>
      <w:r w:rsidR="00A360A7">
        <w:t>8</w:t>
      </w:r>
      <w:r>
        <w:t>] US Defense Forensics and Biometrics Agency (DFBA)</w:t>
      </w:r>
    </w:p>
    <w:p w14:paraId="0BA5F02B" w14:textId="77777777" w:rsidR="0045332F" w:rsidRDefault="0045332F" w:rsidP="0045332F">
      <w:r>
        <w:t>http://www.biometrics.dod.mil/</w:t>
      </w:r>
    </w:p>
    <w:p w14:paraId="77FB5099" w14:textId="77777777" w:rsidR="0045332F" w:rsidRDefault="0045332F" w:rsidP="0045332F">
      <w:r>
        <w:t xml:space="preserve"> </w:t>
      </w:r>
    </w:p>
    <w:p w14:paraId="7F4FF983" w14:textId="033549C4" w:rsidR="0045332F" w:rsidRDefault="00A360A7" w:rsidP="0045332F">
      <w:r>
        <w:t>[19</w:t>
      </w:r>
      <w:r w:rsidR="0045332F">
        <w:t>] US National Information Exchange Model (NIEM) Biometrics Domain</w:t>
      </w:r>
    </w:p>
    <w:p w14:paraId="3A240137" w14:textId="77777777" w:rsidR="0045332F" w:rsidRDefault="0045332F" w:rsidP="0045332F">
      <w:r>
        <w:t>https://www.niem.gov/communities/biometrics/Pages/about-bm.aspx</w:t>
      </w:r>
    </w:p>
    <w:p w14:paraId="124F60BE" w14:textId="77777777" w:rsidR="0045332F" w:rsidRDefault="0045332F" w:rsidP="0045332F">
      <w:r>
        <w:t xml:space="preserve"> </w:t>
      </w:r>
    </w:p>
    <w:p w14:paraId="0A3F10A0" w14:textId="3330CBF3" w:rsidR="0045332F" w:rsidRDefault="00A360A7" w:rsidP="0045332F">
      <w:r>
        <w:t>[20</w:t>
      </w:r>
      <w:r w:rsidR="0045332F">
        <w:t>] UN International Civil Aviation Organization (ICAO)</w:t>
      </w:r>
    </w:p>
    <w:p w14:paraId="306D750F" w14:textId="77777777" w:rsidR="0045332F" w:rsidRDefault="0045332F" w:rsidP="0045332F">
      <w:r>
        <w:t xml:space="preserve">     [Machine Readable Travel Documents (MRTDs), Biometrics and Border Security]</w:t>
      </w:r>
    </w:p>
    <w:p w14:paraId="72309D5C" w14:textId="77777777" w:rsidR="0045332F" w:rsidRDefault="0045332F" w:rsidP="0045332F">
      <w:r>
        <w:t>http://www.icao.int/Meetings/mrtd-Zimbabwe2012/Pages/default.aspx</w:t>
      </w:r>
    </w:p>
    <w:p w14:paraId="4E11B540" w14:textId="77777777" w:rsidR="0045332F" w:rsidRDefault="0045332F" w:rsidP="0045332F">
      <w:r>
        <w:t xml:space="preserve"> </w:t>
      </w:r>
    </w:p>
    <w:p w14:paraId="18634892" w14:textId="54DEA054" w:rsidR="0045332F" w:rsidRDefault="00A360A7" w:rsidP="0045332F">
      <w:r>
        <w:t>[21</w:t>
      </w:r>
      <w:r w:rsidR="0045332F">
        <w:t>] Unique Identity Authority of India (UIDAI) Aadhaar Project</w:t>
      </w:r>
    </w:p>
    <w:p w14:paraId="33E3C73B" w14:textId="77777777" w:rsidR="0045332F" w:rsidRDefault="0045332F" w:rsidP="0045332F">
      <w:r>
        <w:t>http://uidai.gov.in/aadhaar.html</w:t>
      </w:r>
    </w:p>
    <w:p w14:paraId="445EF322" w14:textId="77777777" w:rsidR="0045332F" w:rsidRDefault="0045332F" w:rsidP="0045332F">
      <w:r>
        <w:t xml:space="preserve"> </w:t>
      </w:r>
    </w:p>
    <w:p w14:paraId="09A22AE2" w14:textId="12AAFB94" w:rsidR="0045332F" w:rsidRDefault="00A360A7" w:rsidP="0045332F">
      <w:r>
        <w:t>[22</w:t>
      </w:r>
      <w:r w:rsidR="0045332F">
        <w:t>] VoiceXML Forum [Voice Biometrics]</w:t>
      </w:r>
    </w:p>
    <w:p w14:paraId="2D53D72D" w14:textId="77777777" w:rsidR="0045332F" w:rsidRDefault="0045332F" w:rsidP="0045332F">
      <w:r>
        <w:t>http://www.voicexml.org/</w:t>
      </w:r>
    </w:p>
    <w:p w14:paraId="0472A03C" w14:textId="77777777" w:rsidR="00A26C7F" w:rsidRDefault="00A26C7F"/>
    <w:sectPr w:rsidR="00A26C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32F"/>
    <w:rsid w:val="0000548E"/>
    <w:rsid w:val="00030BDB"/>
    <w:rsid w:val="000B3626"/>
    <w:rsid w:val="0010515D"/>
    <w:rsid w:val="00123385"/>
    <w:rsid w:val="002A1739"/>
    <w:rsid w:val="0032257B"/>
    <w:rsid w:val="00405EBA"/>
    <w:rsid w:val="0045332F"/>
    <w:rsid w:val="004A348E"/>
    <w:rsid w:val="004B356D"/>
    <w:rsid w:val="004D1F60"/>
    <w:rsid w:val="005003A3"/>
    <w:rsid w:val="00577EE2"/>
    <w:rsid w:val="005D5FE7"/>
    <w:rsid w:val="006802A1"/>
    <w:rsid w:val="007F78B8"/>
    <w:rsid w:val="008225F1"/>
    <w:rsid w:val="0083784D"/>
    <w:rsid w:val="00856020"/>
    <w:rsid w:val="008805D0"/>
    <w:rsid w:val="0088268C"/>
    <w:rsid w:val="00895E08"/>
    <w:rsid w:val="009035E1"/>
    <w:rsid w:val="009249B4"/>
    <w:rsid w:val="00936C84"/>
    <w:rsid w:val="00A26C7F"/>
    <w:rsid w:val="00A360A7"/>
    <w:rsid w:val="00A53011"/>
    <w:rsid w:val="00A66E7C"/>
    <w:rsid w:val="00AE7B19"/>
    <w:rsid w:val="00B23360"/>
    <w:rsid w:val="00B30A36"/>
    <w:rsid w:val="00BD36DE"/>
    <w:rsid w:val="00C50D83"/>
    <w:rsid w:val="00D10749"/>
    <w:rsid w:val="00D13CA1"/>
    <w:rsid w:val="00DB2DE4"/>
    <w:rsid w:val="00F97A17"/>
    <w:rsid w:val="00FE36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CF83D"/>
  <w15:chartTrackingRefBased/>
  <w15:docId w15:val="{95D5E77A-00AC-416C-87D1-EFD48DB62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4049383">
      <w:bodyDiv w:val="1"/>
      <w:marLeft w:val="0"/>
      <w:marRight w:val="0"/>
      <w:marTop w:val="0"/>
      <w:marBottom w:val="0"/>
      <w:divBdr>
        <w:top w:val="none" w:sz="0" w:space="0" w:color="auto"/>
        <w:left w:val="none" w:sz="0" w:space="0" w:color="auto"/>
        <w:bottom w:val="none" w:sz="0" w:space="0" w:color="auto"/>
        <w:right w:val="none" w:sz="0" w:space="0" w:color="auto"/>
      </w:divBdr>
    </w:div>
    <w:div w:id="1133670816">
      <w:bodyDiv w:val="1"/>
      <w:marLeft w:val="0"/>
      <w:marRight w:val="0"/>
      <w:marTop w:val="0"/>
      <w:marBottom w:val="0"/>
      <w:divBdr>
        <w:top w:val="none" w:sz="0" w:space="0" w:color="auto"/>
        <w:left w:val="none" w:sz="0" w:space="0" w:color="auto"/>
        <w:bottom w:val="none" w:sz="0" w:space="0" w:color="auto"/>
        <w:right w:val="none" w:sz="0" w:space="0" w:color="auto"/>
      </w:divBdr>
    </w:div>
    <w:div w:id="1417940746">
      <w:bodyDiv w:val="1"/>
      <w:marLeft w:val="0"/>
      <w:marRight w:val="0"/>
      <w:marTop w:val="0"/>
      <w:marBottom w:val="0"/>
      <w:divBdr>
        <w:top w:val="none" w:sz="0" w:space="0" w:color="auto"/>
        <w:left w:val="none" w:sz="0" w:space="0" w:color="auto"/>
        <w:bottom w:val="none" w:sz="0" w:space="0" w:color="auto"/>
        <w:right w:val="none" w:sz="0" w:space="0" w:color="auto"/>
      </w:divBdr>
    </w:div>
    <w:div w:id="1856067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vin.mangold@nist.gov" TargetMode="External"/><Relationship Id="rId13" Type="http://schemas.openxmlformats.org/officeDocument/2006/relationships/hyperlink" Target="mailto:cathy.tilton@daon.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cathy.tilton@daon.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karenm@nist.gov"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kayee@nist.gov" TargetMode="External"/><Relationship Id="rId4" Type="http://schemas.openxmlformats.org/officeDocument/2006/relationships/customXml" Target="../customXml/item4.xml"/><Relationship Id="rId9" Type="http://schemas.openxmlformats.org/officeDocument/2006/relationships/hyperlink" Target="mailto:ross.micheals@nist.gov"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mangold\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D835CC9182A5F459C43FC23CC984C6C" ma:contentTypeVersion="0" ma:contentTypeDescription="Create a new document." ma:contentTypeScope="" ma:versionID="845e577123ed61ab4feb6ff640868195">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BF4667-EFE8-4E29-A342-DCBE1852D178}">
  <ds:schemaRefs>
    <ds:schemaRef ds:uri="http://schemas.microsoft.com/sharepoint/v3/contenttype/forms"/>
  </ds:schemaRefs>
</ds:datastoreItem>
</file>

<file path=customXml/itemProps2.xml><?xml version="1.0" encoding="utf-8"?>
<ds:datastoreItem xmlns:ds="http://schemas.openxmlformats.org/officeDocument/2006/customXml" ds:itemID="{A6EFD0F2-EDA9-4A40-BDC5-D493D151B4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305E4A1-0426-4D1E-B485-C445C5FF5085}">
  <ds:schemaRefs>
    <ds:schemaRef ds:uri="http://purl.org/dc/terms/"/>
    <ds:schemaRef ds:uri="http://www.w3.org/XML/1998/namespace"/>
    <ds:schemaRef ds:uri="http://purl.org/dc/dcmitype/"/>
    <ds:schemaRef ds:uri="http://schemas.microsoft.com/office/2006/documentManagement/types"/>
    <ds:schemaRef ds:uri="http://purl.org/dc/elements/1.1/"/>
    <ds:schemaRef ds:uri="http://schemas.openxmlformats.org/package/2006/metadata/core-properties"/>
    <ds:schemaRef ds:uri="http://schemas.microsoft.com/office/infopath/2007/PartnerControls"/>
    <ds:schemaRef ds:uri="http://schemas.microsoft.com/office/2006/metadata/properties"/>
  </ds:schemaRefs>
</ds:datastoreItem>
</file>

<file path=customXml/itemProps4.xml><?xml version="1.0" encoding="utf-8"?>
<ds:datastoreItem xmlns:ds="http://schemas.openxmlformats.org/officeDocument/2006/customXml" ds:itemID="{70838E52-78FD-4239-8B39-5999E339A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Single spaced (blank).dotx</Template>
  <TotalTime>123</TotalTime>
  <Pages>5</Pages>
  <Words>1517</Words>
  <Characters>8650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C. Mangold</dc:creator>
  <cp:keywords/>
  <dc:description/>
  <cp:lastModifiedBy>Kevin C. Mangold</cp:lastModifiedBy>
  <cp:revision>36</cp:revision>
  <dcterms:created xsi:type="dcterms:W3CDTF">2015-02-04T18:19:00Z</dcterms:created>
  <dcterms:modified xsi:type="dcterms:W3CDTF">2015-04-15T19:17:00Z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y fmtid="{D5CDD505-2E9C-101B-9397-08002B2CF9AE}" pid="3" name="ContentTypeId">
    <vt:lpwstr>0x010100ED835CC9182A5F459C43FC23CC984C6C</vt:lpwstr>
  </property>
</Properties>
</file>