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6C" w:rsidRPr="00274CEF" w:rsidRDefault="00B22B4F" w:rsidP="00274CEF">
      <w:pPr>
        <w:jc w:val="center"/>
        <w:rPr>
          <w:b/>
        </w:rPr>
      </w:pPr>
      <w:bookmarkStart w:id="0" w:name="_GoBack"/>
      <w:bookmarkEnd w:id="0"/>
      <w:r>
        <w:rPr>
          <w:b/>
        </w:rPr>
        <w:t>Roles, t</w:t>
      </w:r>
      <w:r w:rsidR="00A45DD3" w:rsidRPr="00274CEF">
        <w:rPr>
          <w:b/>
        </w:rPr>
        <w:t xml:space="preserve">echnical </w:t>
      </w:r>
      <w:r w:rsidR="00A06A79" w:rsidRPr="00274CEF">
        <w:rPr>
          <w:b/>
        </w:rPr>
        <w:t>requirements</w:t>
      </w:r>
      <w:r w:rsidR="00A45DD3" w:rsidRPr="00274CEF">
        <w:rPr>
          <w:b/>
        </w:rPr>
        <w:t xml:space="preserve"> and guiding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811"/>
        <w:gridCol w:w="5561"/>
      </w:tblGrid>
      <w:tr w:rsidR="00A45DD3" w:rsidTr="00AF045C">
        <w:tc>
          <w:tcPr>
            <w:tcW w:w="1809" w:type="dxa"/>
          </w:tcPr>
          <w:p w:rsidR="00A45DD3" w:rsidRPr="00A45DD3" w:rsidRDefault="00A45DD3">
            <w:pPr>
              <w:rPr>
                <w:b/>
              </w:rPr>
            </w:pPr>
            <w:r w:rsidRPr="00A45DD3">
              <w:rPr>
                <w:b/>
              </w:rPr>
              <w:t>Actor</w:t>
            </w:r>
          </w:p>
        </w:tc>
        <w:tc>
          <w:tcPr>
            <w:tcW w:w="6804" w:type="dxa"/>
            <w:gridSpan w:val="2"/>
          </w:tcPr>
          <w:p w:rsidR="00A45DD3" w:rsidRPr="00A45DD3" w:rsidRDefault="00A06A79">
            <w:pPr>
              <w:rPr>
                <w:b/>
              </w:rPr>
            </w:pPr>
            <w:r>
              <w:rPr>
                <w:b/>
              </w:rPr>
              <w:t>Technical requirement</w:t>
            </w:r>
          </w:p>
        </w:tc>
        <w:tc>
          <w:tcPr>
            <w:tcW w:w="5561" w:type="dxa"/>
          </w:tcPr>
          <w:p w:rsidR="00A45DD3" w:rsidRPr="00A45DD3" w:rsidRDefault="00A45DD3">
            <w:pPr>
              <w:rPr>
                <w:b/>
              </w:rPr>
            </w:pPr>
            <w:r w:rsidRPr="00A45DD3">
              <w:rPr>
                <w:b/>
              </w:rPr>
              <w:t>Guiding principle</w:t>
            </w:r>
            <w:r w:rsidR="00E37A1F">
              <w:rPr>
                <w:b/>
              </w:rPr>
              <w:t>s</w:t>
            </w:r>
            <w:r w:rsidRPr="00A45DD3">
              <w:rPr>
                <w:b/>
              </w:rPr>
              <w:t xml:space="preserve"> &amp; notes</w:t>
            </w:r>
          </w:p>
        </w:tc>
      </w:tr>
      <w:tr w:rsidR="00A45DD3" w:rsidTr="009C27EF">
        <w:tc>
          <w:tcPr>
            <w:tcW w:w="14174" w:type="dxa"/>
            <w:gridSpan w:val="4"/>
          </w:tcPr>
          <w:p w:rsidR="00A233AB" w:rsidRDefault="00A233AB"/>
          <w:p w:rsidR="00A45DD3" w:rsidRDefault="00A233AB">
            <w:r>
              <w:t xml:space="preserve">The role of </w:t>
            </w:r>
            <w:r w:rsidR="00C55EE1">
              <w:t xml:space="preserve">an </w:t>
            </w:r>
            <w:r w:rsidR="00C55EE1" w:rsidRPr="009D5E44">
              <w:rPr>
                <w:b/>
              </w:rPr>
              <w:t xml:space="preserve">Identity </w:t>
            </w:r>
            <w:r w:rsidR="00E37A1F" w:rsidRPr="009D5E44">
              <w:rPr>
                <w:b/>
              </w:rPr>
              <w:t>Authority</w:t>
            </w:r>
            <w:r w:rsidR="00E37A1F">
              <w:t xml:space="preserve"> (IDA) </w:t>
            </w:r>
            <w:r>
              <w:t>is to oversee the effective, open running of the eco-system and to administer the operation of the IDA service.</w:t>
            </w:r>
            <w:r w:rsidR="00190798">
              <w:t xml:space="preserve"> The IDA service issues and checks</w:t>
            </w:r>
            <w:r w:rsidR="00190798" w:rsidRPr="00190798">
              <w:t xml:space="preserve"> unique </w:t>
            </w:r>
            <w:r w:rsidR="0085465C" w:rsidRPr="00190798">
              <w:t xml:space="preserve">pseudonymous </w:t>
            </w:r>
            <w:r w:rsidR="00190798" w:rsidRPr="00190798">
              <w:t>keys that provide security and ensure the interoperability and universality of the ecosystem.</w:t>
            </w:r>
          </w:p>
          <w:p w:rsidR="00A233AB" w:rsidRDefault="00A233AB"/>
        </w:tc>
      </w:tr>
      <w:tr w:rsidR="009A1D75" w:rsidTr="00A45DD3">
        <w:tc>
          <w:tcPr>
            <w:tcW w:w="1809" w:type="dxa"/>
            <w:vMerge w:val="restart"/>
          </w:tcPr>
          <w:p w:rsidR="009A1D75" w:rsidRPr="006A1143" w:rsidRDefault="002A6709">
            <w:pPr>
              <w:rPr>
                <w:b/>
              </w:rPr>
            </w:pPr>
            <w:r>
              <w:rPr>
                <w:b/>
              </w:rPr>
              <w:t>Identity Authority</w:t>
            </w:r>
          </w:p>
        </w:tc>
        <w:tc>
          <w:tcPr>
            <w:tcW w:w="993" w:type="dxa"/>
            <w:vMerge w:val="restart"/>
          </w:tcPr>
          <w:p w:rsidR="009A1D75" w:rsidRDefault="0039646A">
            <w:r>
              <w:t>shall</w:t>
            </w:r>
          </w:p>
        </w:tc>
        <w:tc>
          <w:tcPr>
            <w:tcW w:w="5811" w:type="dxa"/>
          </w:tcPr>
          <w:p w:rsidR="009A1D75" w:rsidRDefault="002E38FC">
            <w:r w:rsidRPr="002E38FC">
              <w:t xml:space="preserve">Maintain an always-on IDA service that will return or validate unique </w:t>
            </w:r>
            <w:r w:rsidR="0085465C" w:rsidRPr="00190798">
              <w:t xml:space="preserve">pseudonymous </w:t>
            </w:r>
            <w:r w:rsidRPr="002E38FC">
              <w:t>keys</w:t>
            </w:r>
            <w:r w:rsidR="002A6709">
              <w:t xml:space="preserve"> to </w:t>
            </w:r>
            <w:r w:rsidR="00400B90">
              <w:t>Data Engine</w:t>
            </w:r>
            <w:r w:rsidR="002A6709">
              <w:t xml:space="preserve">, </w:t>
            </w:r>
            <w:r w:rsidR="00400B90">
              <w:t>Service Provider</w:t>
            </w:r>
            <w:r w:rsidR="002A6709">
              <w:t xml:space="preserve"> &amp; </w:t>
            </w:r>
            <w:r w:rsidR="00400B90">
              <w:t>Operator</w:t>
            </w:r>
          </w:p>
        </w:tc>
        <w:tc>
          <w:tcPr>
            <w:tcW w:w="5561" w:type="dxa"/>
          </w:tcPr>
          <w:p w:rsidR="009A1D75" w:rsidRDefault="002A6709">
            <w:r>
              <w:t>P4</w:t>
            </w:r>
          </w:p>
        </w:tc>
      </w:tr>
      <w:tr w:rsidR="002A6709" w:rsidTr="00A45DD3">
        <w:tc>
          <w:tcPr>
            <w:tcW w:w="1809" w:type="dxa"/>
            <w:vMerge/>
          </w:tcPr>
          <w:p w:rsidR="002A6709" w:rsidRDefault="002A670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A6709" w:rsidRDefault="002A6709"/>
        </w:tc>
        <w:tc>
          <w:tcPr>
            <w:tcW w:w="5811" w:type="dxa"/>
          </w:tcPr>
          <w:p w:rsidR="002A6709" w:rsidRPr="002E38FC" w:rsidRDefault="002A6709">
            <w:r>
              <w:t>Be a non-profit legal entity</w:t>
            </w:r>
          </w:p>
        </w:tc>
        <w:tc>
          <w:tcPr>
            <w:tcW w:w="5561" w:type="dxa"/>
          </w:tcPr>
          <w:p w:rsidR="002A6709" w:rsidRDefault="002A6709">
            <w:r>
              <w:t>P5</w:t>
            </w:r>
          </w:p>
        </w:tc>
      </w:tr>
      <w:tr w:rsidR="002A6709" w:rsidTr="00A45DD3">
        <w:tc>
          <w:tcPr>
            <w:tcW w:w="1809" w:type="dxa"/>
            <w:vMerge/>
          </w:tcPr>
          <w:p w:rsidR="002A6709" w:rsidRDefault="002A670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2A6709" w:rsidRDefault="002A6709"/>
        </w:tc>
        <w:tc>
          <w:tcPr>
            <w:tcW w:w="5811" w:type="dxa"/>
          </w:tcPr>
          <w:p w:rsidR="002A6709" w:rsidRPr="002E38FC" w:rsidRDefault="002A6709">
            <w:r>
              <w:t>Provide its services on a fair, reasonable and non-discriminatory basis</w:t>
            </w:r>
          </w:p>
        </w:tc>
        <w:tc>
          <w:tcPr>
            <w:tcW w:w="5561" w:type="dxa"/>
          </w:tcPr>
          <w:p w:rsidR="002A6709" w:rsidRDefault="002A6709">
            <w:r>
              <w:t>P5</w:t>
            </w:r>
          </w:p>
        </w:tc>
      </w:tr>
      <w:tr w:rsidR="00590643" w:rsidTr="00A45DD3">
        <w:tc>
          <w:tcPr>
            <w:tcW w:w="1809" w:type="dxa"/>
            <w:vMerge/>
          </w:tcPr>
          <w:p w:rsidR="00590643" w:rsidRDefault="00590643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590643" w:rsidRDefault="00590643"/>
        </w:tc>
        <w:tc>
          <w:tcPr>
            <w:tcW w:w="5811" w:type="dxa"/>
          </w:tcPr>
          <w:p w:rsidR="00590643" w:rsidRDefault="00590643">
            <w:r>
              <w:t>Provide Consumers with information about the operation of the eco-system free of charge</w:t>
            </w:r>
          </w:p>
        </w:tc>
        <w:tc>
          <w:tcPr>
            <w:tcW w:w="5561" w:type="dxa"/>
          </w:tcPr>
          <w:p w:rsidR="00590643" w:rsidRDefault="00590643">
            <w:r>
              <w:t>P5</w:t>
            </w:r>
            <w:r w:rsidR="00EB41BB">
              <w:t xml:space="preserve"> &amp; P7</w:t>
            </w:r>
          </w:p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/>
          </w:tcPr>
          <w:p w:rsidR="009A1D75" w:rsidRDefault="009A1D75"/>
        </w:tc>
        <w:tc>
          <w:tcPr>
            <w:tcW w:w="5811" w:type="dxa"/>
          </w:tcPr>
          <w:p w:rsidR="009A1D75" w:rsidRDefault="009A1D75"/>
        </w:tc>
        <w:tc>
          <w:tcPr>
            <w:tcW w:w="5561" w:type="dxa"/>
          </w:tcPr>
          <w:p w:rsidR="009A1D75" w:rsidRDefault="009A1D75"/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 w:val="restart"/>
          </w:tcPr>
          <w:p w:rsidR="009A1D75" w:rsidRDefault="0039646A" w:rsidP="00E102F8">
            <w:r>
              <w:t>shall</w:t>
            </w:r>
            <w:r w:rsidR="009A1D75">
              <w:t xml:space="preserve"> not</w:t>
            </w:r>
          </w:p>
        </w:tc>
        <w:tc>
          <w:tcPr>
            <w:tcW w:w="5811" w:type="dxa"/>
          </w:tcPr>
          <w:p w:rsidR="009A1D75" w:rsidRDefault="002E38FC" w:rsidP="002E38FC">
            <w:r>
              <w:t xml:space="preserve">Act as a Data Engine or Service Provider (other than for the purposes of providing a </w:t>
            </w:r>
            <w:r w:rsidR="002B42C0">
              <w:t>limited ‘</w:t>
            </w:r>
            <w:r>
              <w:t>sandbox</w:t>
            </w:r>
            <w:r w:rsidR="002B42C0">
              <w:t>’</w:t>
            </w:r>
            <w:r>
              <w:t xml:space="preserve"> test environment)</w:t>
            </w:r>
          </w:p>
        </w:tc>
        <w:tc>
          <w:tcPr>
            <w:tcW w:w="5561" w:type="dxa"/>
          </w:tcPr>
          <w:p w:rsidR="009A1D75" w:rsidRDefault="002A6709">
            <w:r>
              <w:t>P4 &amp; P5</w:t>
            </w:r>
          </w:p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/>
          </w:tcPr>
          <w:p w:rsidR="009A1D75" w:rsidRDefault="009A1D75"/>
        </w:tc>
        <w:tc>
          <w:tcPr>
            <w:tcW w:w="5811" w:type="dxa"/>
          </w:tcPr>
          <w:p w:rsidR="009A1D75" w:rsidRDefault="002E38FC">
            <w:r>
              <w:t xml:space="preserve">Store </w:t>
            </w:r>
            <w:r w:rsidR="00C22948">
              <w:t>Behavioural Atoms</w:t>
            </w:r>
          </w:p>
        </w:tc>
        <w:tc>
          <w:tcPr>
            <w:tcW w:w="5561" w:type="dxa"/>
          </w:tcPr>
          <w:p w:rsidR="009A1D75" w:rsidRDefault="002A6709">
            <w:r>
              <w:t>P4 &amp; P5</w:t>
            </w:r>
          </w:p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/>
          </w:tcPr>
          <w:p w:rsidR="009A1D75" w:rsidRDefault="009A1D75"/>
        </w:tc>
        <w:tc>
          <w:tcPr>
            <w:tcW w:w="5811" w:type="dxa"/>
          </w:tcPr>
          <w:p w:rsidR="009A1D75" w:rsidRDefault="002E38FC">
            <w:r>
              <w:t xml:space="preserve">Hold any Consumer’s directly identifying </w:t>
            </w:r>
            <w:r w:rsidR="00002FCE">
              <w:t xml:space="preserve">personal </w:t>
            </w:r>
            <w:r>
              <w:t>information</w:t>
            </w:r>
            <w:r w:rsidR="00002FCE">
              <w:t xml:space="preserve"> (DIPI)</w:t>
            </w:r>
          </w:p>
        </w:tc>
        <w:tc>
          <w:tcPr>
            <w:tcW w:w="5561" w:type="dxa"/>
          </w:tcPr>
          <w:p w:rsidR="009A1D75" w:rsidRDefault="002A6709">
            <w:r>
              <w:t>P5</w:t>
            </w:r>
          </w:p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/>
          </w:tcPr>
          <w:p w:rsidR="009A1D75" w:rsidRDefault="009A1D75"/>
        </w:tc>
        <w:tc>
          <w:tcPr>
            <w:tcW w:w="5811" w:type="dxa"/>
          </w:tcPr>
          <w:p w:rsidR="009A1D75" w:rsidRDefault="009A1D75"/>
        </w:tc>
        <w:tc>
          <w:tcPr>
            <w:tcW w:w="5561" w:type="dxa"/>
          </w:tcPr>
          <w:p w:rsidR="009A1D75" w:rsidRDefault="009A1D75"/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 w:val="restart"/>
          </w:tcPr>
          <w:p w:rsidR="009A1D75" w:rsidRDefault="0039646A">
            <w:r>
              <w:t>m</w:t>
            </w:r>
            <w:r w:rsidR="009A1D75">
              <w:t>ay</w:t>
            </w:r>
          </w:p>
        </w:tc>
        <w:tc>
          <w:tcPr>
            <w:tcW w:w="5811" w:type="dxa"/>
          </w:tcPr>
          <w:p w:rsidR="009A1D75" w:rsidRDefault="002A6709">
            <w:r>
              <w:t>Request Data Engine support to deliver population-level insights for public information and the purposes of marketing the specification</w:t>
            </w:r>
          </w:p>
        </w:tc>
        <w:tc>
          <w:tcPr>
            <w:tcW w:w="5561" w:type="dxa"/>
          </w:tcPr>
          <w:p w:rsidR="009A1D75" w:rsidRDefault="002A6709">
            <w:r>
              <w:t>P6</w:t>
            </w:r>
          </w:p>
        </w:tc>
      </w:tr>
      <w:tr w:rsidR="00BC66AF" w:rsidTr="00A45DD3">
        <w:tc>
          <w:tcPr>
            <w:tcW w:w="1809" w:type="dxa"/>
            <w:vMerge/>
          </w:tcPr>
          <w:p w:rsidR="00BC66AF" w:rsidRDefault="00BC66AF"/>
        </w:tc>
        <w:tc>
          <w:tcPr>
            <w:tcW w:w="993" w:type="dxa"/>
            <w:vMerge/>
          </w:tcPr>
          <w:p w:rsidR="00BC66AF" w:rsidRDefault="00BC66AF"/>
        </w:tc>
        <w:tc>
          <w:tcPr>
            <w:tcW w:w="5811" w:type="dxa"/>
          </w:tcPr>
          <w:p w:rsidR="00BC66AF" w:rsidRDefault="00BC66AF">
            <w:r>
              <w:t xml:space="preserve">Make a query on Data Engines to ensure a specific </w:t>
            </w:r>
            <w:proofErr w:type="spellStart"/>
            <w:r w:rsidR="00400B90">
              <w:t>ConsumerID</w:t>
            </w:r>
            <w:proofErr w:type="spellEnd"/>
            <w:r>
              <w:t xml:space="preserve"> has been forgotten</w:t>
            </w:r>
          </w:p>
        </w:tc>
        <w:tc>
          <w:tcPr>
            <w:tcW w:w="5561" w:type="dxa"/>
          </w:tcPr>
          <w:p w:rsidR="00E20BB8" w:rsidRDefault="00EB41BB">
            <w:r>
              <w:t>P7</w:t>
            </w:r>
          </w:p>
          <w:p w:rsidR="00BC66AF" w:rsidRDefault="00BC66AF">
            <w:r>
              <w:t>This allows the Identity Authority to audit the forgetting</w:t>
            </w:r>
            <w:r w:rsidR="00987DBB">
              <w:t xml:space="preserve"> </w:t>
            </w:r>
            <w:r>
              <w:t>process.</w:t>
            </w:r>
          </w:p>
        </w:tc>
      </w:tr>
      <w:tr w:rsidR="002427B7" w:rsidTr="00A45DD3">
        <w:tc>
          <w:tcPr>
            <w:tcW w:w="1809" w:type="dxa"/>
            <w:vMerge/>
          </w:tcPr>
          <w:p w:rsidR="002427B7" w:rsidRDefault="002427B7"/>
        </w:tc>
        <w:tc>
          <w:tcPr>
            <w:tcW w:w="993" w:type="dxa"/>
            <w:vMerge/>
          </w:tcPr>
          <w:p w:rsidR="002427B7" w:rsidRDefault="002427B7"/>
        </w:tc>
        <w:tc>
          <w:tcPr>
            <w:tcW w:w="5811" w:type="dxa"/>
          </w:tcPr>
          <w:p w:rsidR="002427B7" w:rsidRDefault="002427B7">
            <w:r>
              <w:t>Provide Consumers with information about their status within the eco-system</w:t>
            </w:r>
          </w:p>
        </w:tc>
        <w:tc>
          <w:tcPr>
            <w:tcW w:w="5561" w:type="dxa"/>
          </w:tcPr>
          <w:p w:rsidR="002427B7" w:rsidRDefault="002427B7">
            <w:r>
              <w:t>P5</w:t>
            </w:r>
            <w:r w:rsidR="00EB41BB">
              <w:t xml:space="preserve"> &amp; P7</w:t>
            </w:r>
          </w:p>
        </w:tc>
      </w:tr>
      <w:tr w:rsidR="002A6709" w:rsidTr="00A45DD3">
        <w:tc>
          <w:tcPr>
            <w:tcW w:w="1809" w:type="dxa"/>
            <w:vMerge/>
          </w:tcPr>
          <w:p w:rsidR="002A6709" w:rsidRDefault="002A6709"/>
        </w:tc>
        <w:tc>
          <w:tcPr>
            <w:tcW w:w="993" w:type="dxa"/>
            <w:vMerge/>
          </w:tcPr>
          <w:p w:rsidR="002A6709" w:rsidRDefault="002A6709"/>
        </w:tc>
        <w:tc>
          <w:tcPr>
            <w:tcW w:w="5811" w:type="dxa"/>
          </w:tcPr>
          <w:p w:rsidR="002A6709" w:rsidRDefault="00AB4D23">
            <w:r>
              <w:t xml:space="preserve">Provide audit services to </w:t>
            </w:r>
            <w:r w:rsidR="00400B90">
              <w:t>Data Engine</w:t>
            </w:r>
            <w:r>
              <w:t xml:space="preserve">, </w:t>
            </w:r>
            <w:r w:rsidR="00400B90">
              <w:t>Service Provider</w:t>
            </w:r>
            <w:r>
              <w:t xml:space="preserve">, </w:t>
            </w:r>
            <w:r w:rsidR="00400B90">
              <w:t>Operator</w:t>
            </w:r>
            <w:r>
              <w:t xml:space="preserve"> and regulators</w:t>
            </w:r>
          </w:p>
        </w:tc>
        <w:tc>
          <w:tcPr>
            <w:tcW w:w="5561" w:type="dxa"/>
          </w:tcPr>
          <w:p w:rsidR="002A6709" w:rsidRDefault="00AB4D23">
            <w:r>
              <w:t>P6</w:t>
            </w:r>
          </w:p>
        </w:tc>
      </w:tr>
      <w:tr w:rsidR="009A1D75" w:rsidTr="00A45DD3">
        <w:tc>
          <w:tcPr>
            <w:tcW w:w="1809" w:type="dxa"/>
            <w:vMerge/>
          </w:tcPr>
          <w:p w:rsidR="009A1D75" w:rsidRDefault="009A1D75"/>
        </w:tc>
        <w:tc>
          <w:tcPr>
            <w:tcW w:w="993" w:type="dxa"/>
            <w:vMerge/>
          </w:tcPr>
          <w:p w:rsidR="009A1D75" w:rsidRDefault="009A1D75"/>
        </w:tc>
        <w:tc>
          <w:tcPr>
            <w:tcW w:w="5811" w:type="dxa"/>
          </w:tcPr>
          <w:p w:rsidR="009A1D75" w:rsidRDefault="009A1D75"/>
        </w:tc>
        <w:tc>
          <w:tcPr>
            <w:tcW w:w="5561" w:type="dxa"/>
          </w:tcPr>
          <w:p w:rsidR="009A1D75" w:rsidRDefault="009A1D75"/>
        </w:tc>
      </w:tr>
    </w:tbl>
    <w:p w:rsidR="00A45DD3" w:rsidRPr="00A45DD3" w:rsidRDefault="00A45DD3">
      <w:pPr>
        <w:rPr>
          <w:vanish/>
          <w:specVanish/>
        </w:rPr>
      </w:pPr>
    </w:p>
    <w:p w:rsidR="00E20BB8" w:rsidRDefault="00A45DD3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811"/>
        <w:gridCol w:w="5561"/>
      </w:tblGrid>
      <w:tr w:rsidR="00A45DD3" w:rsidTr="00E102F8">
        <w:tc>
          <w:tcPr>
            <w:tcW w:w="1809" w:type="dxa"/>
          </w:tcPr>
          <w:p w:rsidR="00A45DD3" w:rsidRPr="00A45DD3" w:rsidRDefault="00A45DD3" w:rsidP="00E102F8">
            <w:pPr>
              <w:rPr>
                <w:b/>
              </w:rPr>
            </w:pPr>
            <w:r w:rsidRPr="00A45DD3">
              <w:rPr>
                <w:b/>
              </w:rPr>
              <w:t>Actor</w:t>
            </w:r>
          </w:p>
        </w:tc>
        <w:tc>
          <w:tcPr>
            <w:tcW w:w="6804" w:type="dxa"/>
            <w:gridSpan w:val="2"/>
          </w:tcPr>
          <w:p w:rsidR="00A45DD3" w:rsidRPr="00A45DD3" w:rsidRDefault="00A06A79" w:rsidP="00E102F8">
            <w:pPr>
              <w:rPr>
                <w:b/>
              </w:rPr>
            </w:pPr>
            <w:r>
              <w:rPr>
                <w:b/>
              </w:rPr>
              <w:t>Technical requirement</w:t>
            </w:r>
          </w:p>
        </w:tc>
        <w:tc>
          <w:tcPr>
            <w:tcW w:w="5561" w:type="dxa"/>
          </w:tcPr>
          <w:p w:rsidR="00A45DD3" w:rsidRPr="00A45DD3" w:rsidRDefault="00A45DD3" w:rsidP="00E102F8">
            <w:pPr>
              <w:rPr>
                <w:b/>
              </w:rPr>
            </w:pPr>
            <w:r w:rsidRPr="00A45DD3">
              <w:rPr>
                <w:b/>
              </w:rPr>
              <w:t>Guiding principle</w:t>
            </w:r>
            <w:r w:rsidR="0029005D">
              <w:rPr>
                <w:b/>
              </w:rPr>
              <w:t>s</w:t>
            </w:r>
            <w:r w:rsidRPr="00A45DD3">
              <w:rPr>
                <w:b/>
              </w:rPr>
              <w:t xml:space="preserve"> &amp; notes</w:t>
            </w:r>
          </w:p>
        </w:tc>
      </w:tr>
      <w:tr w:rsidR="00A45DD3" w:rsidTr="00E102F8">
        <w:tc>
          <w:tcPr>
            <w:tcW w:w="14174" w:type="dxa"/>
            <w:gridSpan w:val="4"/>
          </w:tcPr>
          <w:p w:rsidR="00274CEF" w:rsidRDefault="00274CEF" w:rsidP="00E102F8"/>
          <w:p w:rsidR="00A45DD3" w:rsidRDefault="00274CEF" w:rsidP="00E102F8">
            <w:r>
              <w:t xml:space="preserve">The role of the </w:t>
            </w:r>
            <w:r w:rsidRPr="009D5E44">
              <w:rPr>
                <w:b/>
              </w:rPr>
              <w:t>Data Engine</w:t>
            </w:r>
            <w:r>
              <w:t xml:space="preserve"> is to receive, store and process </w:t>
            </w:r>
            <w:r w:rsidR="00C22948">
              <w:t>Behavioural Atoms</w:t>
            </w:r>
            <w:r>
              <w:t>. Data Engines provide business-to-business services to Service Providers and other organisations</w:t>
            </w:r>
            <w:r w:rsidR="00190798">
              <w:t xml:space="preserve"> in </w:t>
            </w:r>
            <w:r w:rsidR="00190798" w:rsidRPr="00190798">
              <w:t>the form of queries that create Report Data.</w:t>
            </w:r>
          </w:p>
          <w:p w:rsidR="00274CEF" w:rsidRDefault="00274CEF" w:rsidP="00E102F8"/>
        </w:tc>
      </w:tr>
      <w:tr w:rsidR="004A590A" w:rsidTr="00E102F8">
        <w:tc>
          <w:tcPr>
            <w:tcW w:w="1809" w:type="dxa"/>
            <w:vMerge w:val="restart"/>
          </w:tcPr>
          <w:p w:rsidR="004A590A" w:rsidRPr="006A1143" w:rsidRDefault="004A590A" w:rsidP="00E102F8">
            <w:pPr>
              <w:rPr>
                <w:b/>
              </w:rPr>
            </w:pPr>
            <w:r w:rsidRPr="006A1143">
              <w:rPr>
                <w:b/>
              </w:rPr>
              <w:t>Data Engine</w:t>
            </w:r>
          </w:p>
        </w:tc>
        <w:tc>
          <w:tcPr>
            <w:tcW w:w="993" w:type="dxa"/>
            <w:vMerge w:val="restart"/>
          </w:tcPr>
          <w:p w:rsidR="004A590A" w:rsidRDefault="0039646A" w:rsidP="00E102F8">
            <w:r>
              <w:t>shall</w:t>
            </w:r>
          </w:p>
        </w:tc>
        <w:tc>
          <w:tcPr>
            <w:tcW w:w="5811" w:type="dxa"/>
          </w:tcPr>
          <w:p w:rsidR="004A590A" w:rsidRDefault="004A590A" w:rsidP="006A1143">
            <w:r>
              <w:t xml:space="preserve">Provide secure storage </w:t>
            </w:r>
            <w:r w:rsidR="00B6776F">
              <w:t xml:space="preserve">of </w:t>
            </w:r>
            <w:r w:rsidR="00C22948">
              <w:t>Behavioural Atoms</w:t>
            </w:r>
            <w:r w:rsidR="00B6776F">
              <w:t xml:space="preserve"> </w:t>
            </w:r>
            <w:r>
              <w:t>for a period to be agreed with the Service Provider in line with the Consumer consent</w:t>
            </w:r>
          </w:p>
        </w:tc>
        <w:tc>
          <w:tcPr>
            <w:tcW w:w="5561" w:type="dxa"/>
          </w:tcPr>
          <w:p w:rsidR="004A590A" w:rsidRDefault="00B6776F" w:rsidP="00E102F8">
            <w:r>
              <w:t>P2 &amp; P3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6D03DC">
            <w:r>
              <w:t xml:space="preserve">Provide minimal interface services </w:t>
            </w:r>
            <w:r w:rsidR="000900AE">
              <w:t xml:space="preserve">for Service Providers </w:t>
            </w:r>
            <w:r>
              <w:t xml:space="preserve">to process joiners, movers, and leavers (e.g. </w:t>
            </w:r>
            <w:r w:rsidR="000900AE">
              <w:t xml:space="preserve">Operator &amp; Consumer trees, </w:t>
            </w:r>
            <w:r>
              <w:t>registration, ID re-allocation, forgetting)</w:t>
            </w:r>
          </w:p>
        </w:tc>
        <w:tc>
          <w:tcPr>
            <w:tcW w:w="5561" w:type="dxa"/>
          </w:tcPr>
          <w:p w:rsidR="004A590A" w:rsidRDefault="00B6776F" w:rsidP="00E102F8">
            <w:r>
              <w:t>P4</w:t>
            </w:r>
          </w:p>
        </w:tc>
      </w:tr>
      <w:tr w:rsidR="00B6776F" w:rsidTr="00E102F8">
        <w:tc>
          <w:tcPr>
            <w:tcW w:w="1809" w:type="dxa"/>
            <w:vMerge/>
          </w:tcPr>
          <w:p w:rsidR="00B6776F" w:rsidRDefault="00B6776F" w:rsidP="00E102F8"/>
        </w:tc>
        <w:tc>
          <w:tcPr>
            <w:tcW w:w="993" w:type="dxa"/>
            <w:vMerge/>
          </w:tcPr>
          <w:p w:rsidR="00B6776F" w:rsidRDefault="00B6776F" w:rsidP="00E102F8"/>
        </w:tc>
        <w:tc>
          <w:tcPr>
            <w:tcW w:w="5811" w:type="dxa"/>
          </w:tcPr>
          <w:p w:rsidR="00B6776F" w:rsidRDefault="00B6776F" w:rsidP="00DF3DC0">
            <w:r>
              <w:t xml:space="preserve">Provide minimal interface services for querying </w:t>
            </w:r>
            <w:r w:rsidR="00C22948">
              <w:t>Behavioural Atoms</w:t>
            </w:r>
            <w:r w:rsidR="000F554A">
              <w:t xml:space="preserve"> by registered Service Providers</w:t>
            </w:r>
          </w:p>
        </w:tc>
        <w:tc>
          <w:tcPr>
            <w:tcW w:w="5561" w:type="dxa"/>
          </w:tcPr>
          <w:p w:rsidR="00B6776F" w:rsidRDefault="005F08B4" w:rsidP="00E102F8">
            <w:r>
              <w:t>P1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6D03DC">
            <w:r>
              <w:t xml:space="preserve">Maintain an always-on, single entry point for uploading </w:t>
            </w:r>
            <w:r w:rsidR="00C22948">
              <w:t>Behavioural Atoms</w:t>
            </w:r>
            <w:r>
              <w:t xml:space="preserve"> to the Data Engine</w:t>
            </w:r>
          </w:p>
        </w:tc>
        <w:tc>
          <w:tcPr>
            <w:tcW w:w="5561" w:type="dxa"/>
          </w:tcPr>
          <w:p w:rsidR="004A590A" w:rsidRDefault="00B6776F" w:rsidP="00E102F8">
            <w:r>
              <w:t>P4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E102F8">
            <w:r>
              <w:t xml:space="preserve">Receive </w:t>
            </w:r>
            <w:r w:rsidR="00C22948">
              <w:t>Behavioural Atoms</w:t>
            </w:r>
            <w:r w:rsidR="00B6776F">
              <w:t xml:space="preserve"> from Consumers or Devices registered with their Operators that conform to the specification </w:t>
            </w:r>
            <w:r>
              <w:t>free of charge</w:t>
            </w:r>
          </w:p>
        </w:tc>
        <w:tc>
          <w:tcPr>
            <w:tcW w:w="5561" w:type="dxa"/>
          </w:tcPr>
          <w:p w:rsidR="004A590A" w:rsidRDefault="00B6776F" w:rsidP="00E102F8">
            <w:r>
              <w:t>Receiving data is a minimal requirement for a Data Engine, commercial services apply to the use and processing of data.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29005D">
            <w:r>
              <w:t>Ensure that their Service Providers have the minimum standard consent from Consumers</w:t>
            </w:r>
          </w:p>
        </w:tc>
        <w:tc>
          <w:tcPr>
            <w:tcW w:w="5561" w:type="dxa"/>
          </w:tcPr>
          <w:p w:rsidR="004A590A" w:rsidRDefault="00B6776F" w:rsidP="00E102F8">
            <w:r>
              <w:t>P3</w:t>
            </w:r>
          </w:p>
        </w:tc>
      </w:tr>
      <w:tr w:rsidR="00A46EC8" w:rsidTr="00E102F8">
        <w:tc>
          <w:tcPr>
            <w:tcW w:w="1809" w:type="dxa"/>
            <w:vMerge/>
          </w:tcPr>
          <w:p w:rsidR="00A46EC8" w:rsidRDefault="00A46EC8" w:rsidP="00E102F8"/>
        </w:tc>
        <w:tc>
          <w:tcPr>
            <w:tcW w:w="993" w:type="dxa"/>
            <w:vMerge/>
          </w:tcPr>
          <w:p w:rsidR="00A46EC8" w:rsidRDefault="00A46EC8" w:rsidP="00E102F8"/>
        </w:tc>
        <w:tc>
          <w:tcPr>
            <w:tcW w:w="5811" w:type="dxa"/>
          </w:tcPr>
          <w:p w:rsidR="00A46EC8" w:rsidRDefault="00A46EC8" w:rsidP="0029005D">
            <w:r>
              <w:t xml:space="preserve">Notify Service Providers if they believe that their store of </w:t>
            </w:r>
            <w:r w:rsidR="00C22948">
              <w:t>Behavioural Atoms</w:t>
            </w:r>
            <w:r>
              <w:t xml:space="preserve"> contains DIPI</w:t>
            </w:r>
          </w:p>
        </w:tc>
        <w:tc>
          <w:tcPr>
            <w:tcW w:w="5561" w:type="dxa"/>
          </w:tcPr>
          <w:p w:rsidR="00A46EC8" w:rsidRDefault="00A46EC8" w:rsidP="00E102F8">
            <w:r>
              <w:t>P1 &amp; P6</w:t>
            </w:r>
          </w:p>
        </w:tc>
      </w:tr>
      <w:tr w:rsidR="00DB4637" w:rsidTr="00E102F8">
        <w:tc>
          <w:tcPr>
            <w:tcW w:w="1809" w:type="dxa"/>
            <w:vMerge/>
          </w:tcPr>
          <w:p w:rsidR="00DB4637" w:rsidRDefault="00DB4637" w:rsidP="00E102F8"/>
        </w:tc>
        <w:tc>
          <w:tcPr>
            <w:tcW w:w="993" w:type="dxa"/>
            <w:vMerge/>
          </w:tcPr>
          <w:p w:rsidR="00DB4637" w:rsidRDefault="00DB4637" w:rsidP="00E102F8"/>
        </w:tc>
        <w:tc>
          <w:tcPr>
            <w:tcW w:w="5811" w:type="dxa"/>
          </w:tcPr>
          <w:p w:rsidR="00DB4637" w:rsidRDefault="00DB4637" w:rsidP="0029005D">
            <w:r>
              <w:t>Provide information to the Service Provider about the location and security of the infrastructure used in the delivery of services</w:t>
            </w:r>
          </w:p>
        </w:tc>
        <w:tc>
          <w:tcPr>
            <w:tcW w:w="5561" w:type="dxa"/>
          </w:tcPr>
          <w:p w:rsidR="00DB4637" w:rsidRDefault="00DB4637" w:rsidP="00E102F8">
            <w:r>
              <w:t>P7</w:t>
            </w:r>
          </w:p>
        </w:tc>
      </w:tr>
      <w:tr w:rsidR="002B3912" w:rsidTr="00E102F8">
        <w:tc>
          <w:tcPr>
            <w:tcW w:w="1809" w:type="dxa"/>
            <w:vMerge/>
          </w:tcPr>
          <w:p w:rsidR="002B3912" w:rsidRDefault="002B3912" w:rsidP="00E102F8"/>
        </w:tc>
        <w:tc>
          <w:tcPr>
            <w:tcW w:w="993" w:type="dxa"/>
            <w:vMerge/>
          </w:tcPr>
          <w:p w:rsidR="002B3912" w:rsidRDefault="002B3912" w:rsidP="00E102F8"/>
        </w:tc>
        <w:tc>
          <w:tcPr>
            <w:tcW w:w="5811" w:type="dxa"/>
          </w:tcPr>
          <w:p w:rsidR="002B3912" w:rsidRDefault="002B3912" w:rsidP="0029005D">
            <w:r>
              <w:t>Notify Service Providers any mergers</w:t>
            </w:r>
            <w:r w:rsidR="00392E39">
              <w:t xml:space="preserve"> and acquisitions or other changes that would result in a change of control of the data store</w:t>
            </w:r>
          </w:p>
        </w:tc>
        <w:tc>
          <w:tcPr>
            <w:tcW w:w="5561" w:type="dxa"/>
          </w:tcPr>
          <w:p w:rsidR="002B3912" w:rsidRDefault="002B3912" w:rsidP="00E102F8">
            <w:r>
              <w:t>P7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29005D">
            <w:r>
              <w:t xml:space="preserve">Check the credentials of a Service Provider every time a request is made to release data for a </w:t>
            </w:r>
            <w:proofErr w:type="spellStart"/>
            <w:r>
              <w:t>ConsumerID</w:t>
            </w:r>
            <w:proofErr w:type="spellEnd"/>
            <w:r>
              <w:t xml:space="preserve"> </w:t>
            </w:r>
          </w:p>
        </w:tc>
        <w:tc>
          <w:tcPr>
            <w:tcW w:w="5561" w:type="dxa"/>
          </w:tcPr>
          <w:p w:rsidR="005C7F79" w:rsidRDefault="005C7F79" w:rsidP="00E102F8">
            <w:r>
              <w:t>Security.</w:t>
            </w:r>
          </w:p>
        </w:tc>
      </w:tr>
      <w:tr w:rsidR="000B62DC" w:rsidTr="00E102F8">
        <w:tc>
          <w:tcPr>
            <w:tcW w:w="1809" w:type="dxa"/>
            <w:vMerge/>
          </w:tcPr>
          <w:p w:rsidR="000B62DC" w:rsidRDefault="000B62DC" w:rsidP="00E102F8"/>
        </w:tc>
        <w:tc>
          <w:tcPr>
            <w:tcW w:w="993" w:type="dxa"/>
            <w:vMerge/>
          </w:tcPr>
          <w:p w:rsidR="000B62DC" w:rsidRDefault="000B62DC" w:rsidP="00E102F8"/>
        </w:tc>
        <w:tc>
          <w:tcPr>
            <w:tcW w:w="5811" w:type="dxa"/>
          </w:tcPr>
          <w:p w:rsidR="000B62DC" w:rsidRDefault="000B62DC" w:rsidP="0029005D">
            <w:r>
              <w:t xml:space="preserve">Provide an additional security check when Service Providers </w:t>
            </w:r>
            <w:r>
              <w:lastRenderedPageBreak/>
              <w:t>request Consumers to be forgotten to reduce the risk of unauthorised data loss.</w:t>
            </w:r>
          </w:p>
        </w:tc>
        <w:tc>
          <w:tcPr>
            <w:tcW w:w="5561" w:type="dxa"/>
          </w:tcPr>
          <w:p w:rsidR="000B62DC" w:rsidRDefault="000B62DC" w:rsidP="00E102F8">
            <w:r>
              <w:lastRenderedPageBreak/>
              <w:t>Security.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29005D"/>
        </w:tc>
        <w:tc>
          <w:tcPr>
            <w:tcW w:w="5561" w:type="dxa"/>
          </w:tcPr>
          <w:p w:rsidR="004A590A" w:rsidRDefault="004A590A" w:rsidP="00E102F8"/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 w:val="restart"/>
          </w:tcPr>
          <w:p w:rsidR="004A590A" w:rsidRDefault="0039646A" w:rsidP="00E102F8">
            <w:r>
              <w:t>shall</w:t>
            </w:r>
            <w:r w:rsidR="004A590A">
              <w:t xml:space="preserve"> not</w:t>
            </w:r>
          </w:p>
        </w:tc>
        <w:tc>
          <w:tcPr>
            <w:tcW w:w="5811" w:type="dxa"/>
          </w:tcPr>
          <w:p w:rsidR="004A590A" w:rsidRDefault="004A590A" w:rsidP="0029005D">
            <w:r>
              <w:t xml:space="preserve">Link </w:t>
            </w:r>
            <w:r w:rsidR="00C22948">
              <w:t>Behavioural Atom</w:t>
            </w:r>
            <w:r>
              <w:t xml:space="preserve"> data to directly-identifying personal information</w:t>
            </w:r>
            <w:r w:rsidR="000900AE">
              <w:t xml:space="preserve"> (DIPI)</w:t>
            </w:r>
            <w:r>
              <w:t xml:space="preserve"> from external sources</w:t>
            </w:r>
          </w:p>
        </w:tc>
        <w:tc>
          <w:tcPr>
            <w:tcW w:w="5561" w:type="dxa"/>
          </w:tcPr>
          <w:p w:rsidR="004A590A" w:rsidRDefault="000F554A" w:rsidP="00E102F8">
            <w:r>
              <w:t>P1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E102F8">
            <w:r>
              <w:t xml:space="preserve">Link </w:t>
            </w:r>
            <w:r w:rsidR="00C22948">
              <w:t>Behavioural Atom</w:t>
            </w:r>
            <w:r w:rsidR="000F554A">
              <w:t xml:space="preserve"> </w:t>
            </w:r>
            <w:r>
              <w:t xml:space="preserve">data directly to external data storage if such link might </w:t>
            </w:r>
            <w:r w:rsidR="000900AE">
              <w:t>directly</w:t>
            </w:r>
            <w:r>
              <w:t xml:space="preserve"> identi</w:t>
            </w:r>
            <w:r w:rsidR="000900AE">
              <w:t>fy Consumers</w:t>
            </w:r>
          </w:p>
        </w:tc>
        <w:tc>
          <w:tcPr>
            <w:tcW w:w="5561" w:type="dxa"/>
          </w:tcPr>
          <w:p w:rsidR="004A590A" w:rsidRDefault="000F554A" w:rsidP="00E102F8">
            <w:r>
              <w:t>P1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4A590A" w:rsidP="00E102F8">
            <w:r>
              <w:t>Hold any Consumer’s directly identifying</w:t>
            </w:r>
            <w:r w:rsidR="000F554A">
              <w:t xml:space="preserve"> personal </w:t>
            </w:r>
            <w:r>
              <w:t xml:space="preserve"> information</w:t>
            </w:r>
            <w:r w:rsidR="000F554A">
              <w:t xml:space="preserve"> (DIPI)</w:t>
            </w:r>
          </w:p>
        </w:tc>
        <w:tc>
          <w:tcPr>
            <w:tcW w:w="5561" w:type="dxa"/>
          </w:tcPr>
          <w:p w:rsidR="004A590A" w:rsidRDefault="000F554A" w:rsidP="00E102F8">
            <w:r>
              <w:t>P1</w:t>
            </w:r>
          </w:p>
        </w:tc>
      </w:tr>
      <w:tr w:rsidR="004A590A" w:rsidTr="00E102F8">
        <w:tc>
          <w:tcPr>
            <w:tcW w:w="1809" w:type="dxa"/>
            <w:vMerge/>
          </w:tcPr>
          <w:p w:rsidR="004A590A" w:rsidRDefault="004A590A" w:rsidP="00E102F8"/>
        </w:tc>
        <w:tc>
          <w:tcPr>
            <w:tcW w:w="993" w:type="dxa"/>
            <w:vMerge/>
          </w:tcPr>
          <w:p w:rsidR="004A590A" w:rsidRDefault="004A590A" w:rsidP="00E102F8"/>
        </w:tc>
        <w:tc>
          <w:tcPr>
            <w:tcW w:w="5811" w:type="dxa"/>
          </w:tcPr>
          <w:p w:rsidR="004A590A" w:rsidRDefault="000F554A" w:rsidP="00E102F8">
            <w:r>
              <w:t>Act as a Service P</w:t>
            </w:r>
            <w:r w:rsidR="004A590A">
              <w:t>rovider</w:t>
            </w:r>
            <w:r>
              <w:t xml:space="preserve"> or Operator</w:t>
            </w:r>
            <w:r w:rsidR="004A590A">
              <w:t xml:space="preserve"> itself</w:t>
            </w:r>
          </w:p>
        </w:tc>
        <w:tc>
          <w:tcPr>
            <w:tcW w:w="5561" w:type="dxa"/>
          </w:tcPr>
          <w:p w:rsidR="004A590A" w:rsidRDefault="009452AF" w:rsidP="00E102F8">
            <w:r>
              <w:t xml:space="preserve">P1 &amp; </w:t>
            </w:r>
            <w:r w:rsidR="000F554A">
              <w:t>P4</w:t>
            </w:r>
          </w:p>
        </w:tc>
      </w:tr>
      <w:tr w:rsidR="00A46EC8" w:rsidTr="00E102F8">
        <w:tc>
          <w:tcPr>
            <w:tcW w:w="1809" w:type="dxa"/>
            <w:vMerge/>
          </w:tcPr>
          <w:p w:rsidR="00A46EC8" w:rsidRDefault="00A46EC8" w:rsidP="00E102F8"/>
        </w:tc>
        <w:tc>
          <w:tcPr>
            <w:tcW w:w="993" w:type="dxa"/>
            <w:vMerge/>
          </w:tcPr>
          <w:p w:rsidR="00A46EC8" w:rsidRDefault="00A46EC8" w:rsidP="00E102F8"/>
        </w:tc>
        <w:tc>
          <w:tcPr>
            <w:tcW w:w="5811" w:type="dxa"/>
          </w:tcPr>
          <w:p w:rsidR="00A46EC8" w:rsidRDefault="00A46EC8" w:rsidP="006640C2">
            <w:r>
              <w:t xml:space="preserve">Request more than the </w:t>
            </w:r>
            <w:r w:rsidR="006640C2">
              <w:t>Segment</w:t>
            </w:r>
            <w:r>
              <w:t xml:space="preserve"> </w:t>
            </w:r>
            <w:r w:rsidR="006640C2">
              <w:t>D</w:t>
            </w:r>
            <w:r>
              <w:t>ata as defined in the specification (gender, year of birth, time zone &amp; latitude to 0</w:t>
            </w:r>
            <w:r w:rsidR="00C974D7">
              <w:t xml:space="preserve"> </w:t>
            </w:r>
            <w:r>
              <w:t>d</w:t>
            </w:r>
            <w:r w:rsidR="00C974D7">
              <w:t xml:space="preserve">ecimal </w:t>
            </w:r>
            <w:r>
              <w:t>p</w:t>
            </w:r>
            <w:r w:rsidR="00C974D7">
              <w:t>oints</w:t>
            </w:r>
            <w:r>
              <w:t xml:space="preserve">) on registration of a Consumer </w:t>
            </w:r>
          </w:p>
        </w:tc>
        <w:tc>
          <w:tcPr>
            <w:tcW w:w="5561" w:type="dxa"/>
          </w:tcPr>
          <w:p w:rsidR="00A46EC8" w:rsidRDefault="00A46EC8" w:rsidP="00E102F8">
            <w:r>
              <w:t>P1</w:t>
            </w:r>
          </w:p>
        </w:tc>
      </w:tr>
      <w:tr w:rsidR="00A46EC8" w:rsidTr="00E102F8">
        <w:tc>
          <w:tcPr>
            <w:tcW w:w="1809" w:type="dxa"/>
            <w:vMerge/>
          </w:tcPr>
          <w:p w:rsidR="00A46EC8" w:rsidRDefault="00A46EC8" w:rsidP="00E102F8"/>
        </w:tc>
        <w:tc>
          <w:tcPr>
            <w:tcW w:w="993" w:type="dxa"/>
            <w:vMerge/>
          </w:tcPr>
          <w:p w:rsidR="00A46EC8" w:rsidRDefault="00A46EC8" w:rsidP="00E102F8"/>
        </w:tc>
        <w:tc>
          <w:tcPr>
            <w:tcW w:w="5811" w:type="dxa"/>
          </w:tcPr>
          <w:p w:rsidR="00A46EC8" w:rsidRDefault="00A46EC8" w:rsidP="00E102F8">
            <w:r>
              <w:t>Knowingly receive DIPI</w:t>
            </w:r>
          </w:p>
        </w:tc>
        <w:tc>
          <w:tcPr>
            <w:tcW w:w="5561" w:type="dxa"/>
          </w:tcPr>
          <w:p w:rsidR="00A46EC8" w:rsidRDefault="00A46EC8" w:rsidP="00E102F8">
            <w:r>
              <w:t>P1</w:t>
            </w:r>
          </w:p>
        </w:tc>
      </w:tr>
      <w:tr w:rsidR="00814B27" w:rsidTr="00E102F8">
        <w:tc>
          <w:tcPr>
            <w:tcW w:w="1809" w:type="dxa"/>
            <w:vMerge/>
          </w:tcPr>
          <w:p w:rsidR="00814B27" w:rsidRDefault="00814B27" w:rsidP="00E102F8"/>
        </w:tc>
        <w:tc>
          <w:tcPr>
            <w:tcW w:w="993" w:type="dxa"/>
            <w:vMerge/>
          </w:tcPr>
          <w:p w:rsidR="00814B27" w:rsidRDefault="00814B27" w:rsidP="00E102F8"/>
        </w:tc>
        <w:tc>
          <w:tcPr>
            <w:tcW w:w="5811" w:type="dxa"/>
          </w:tcPr>
          <w:p w:rsidR="00814B27" w:rsidRDefault="00814B27" w:rsidP="00E102F8">
            <w:r>
              <w:t xml:space="preserve">Levy unreasonably punitive charges for the complete download of store of </w:t>
            </w:r>
            <w:r w:rsidR="00C22948">
              <w:t>Behavioural Atoms</w:t>
            </w:r>
          </w:p>
        </w:tc>
        <w:tc>
          <w:tcPr>
            <w:tcW w:w="5561" w:type="dxa"/>
          </w:tcPr>
          <w:p w:rsidR="00814B27" w:rsidRDefault="00814B27" w:rsidP="00E102F8">
            <w:r>
              <w:t>Supports EU data protection and an open, competitive eco-system.</w:t>
            </w:r>
          </w:p>
        </w:tc>
      </w:tr>
      <w:tr w:rsidR="00FA53DF" w:rsidTr="00E102F8">
        <w:tc>
          <w:tcPr>
            <w:tcW w:w="1809" w:type="dxa"/>
            <w:vMerge/>
          </w:tcPr>
          <w:p w:rsidR="00FA53DF" w:rsidRDefault="00FA53DF" w:rsidP="00E102F8"/>
        </w:tc>
        <w:tc>
          <w:tcPr>
            <w:tcW w:w="993" w:type="dxa"/>
            <w:vMerge/>
          </w:tcPr>
          <w:p w:rsidR="00FA53DF" w:rsidRDefault="00FA53DF" w:rsidP="00E102F8"/>
        </w:tc>
        <w:tc>
          <w:tcPr>
            <w:tcW w:w="5811" w:type="dxa"/>
          </w:tcPr>
          <w:p w:rsidR="00FA53DF" w:rsidRDefault="00FA53DF" w:rsidP="00E102F8">
            <w:r>
              <w:t xml:space="preserve">Utilise IDA </w:t>
            </w:r>
            <w:r w:rsidR="0085465C">
              <w:t xml:space="preserve">unique pseudonymous keys </w:t>
            </w:r>
            <w:r>
              <w:t>outside of the ecosystem</w:t>
            </w:r>
          </w:p>
        </w:tc>
        <w:tc>
          <w:tcPr>
            <w:tcW w:w="5561" w:type="dxa"/>
          </w:tcPr>
          <w:p w:rsidR="00FA53DF" w:rsidRDefault="00FA53DF" w:rsidP="00E102F8">
            <w:r>
              <w:t>P1</w:t>
            </w:r>
          </w:p>
        </w:tc>
      </w:tr>
      <w:tr w:rsidR="00FA53DF" w:rsidTr="00E102F8">
        <w:tc>
          <w:tcPr>
            <w:tcW w:w="1809" w:type="dxa"/>
            <w:vMerge/>
          </w:tcPr>
          <w:p w:rsidR="00FA53DF" w:rsidRDefault="00FA53DF" w:rsidP="00E102F8"/>
        </w:tc>
        <w:tc>
          <w:tcPr>
            <w:tcW w:w="993" w:type="dxa"/>
            <w:vMerge/>
          </w:tcPr>
          <w:p w:rsidR="00FA53DF" w:rsidRDefault="00FA53DF" w:rsidP="00E102F8"/>
        </w:tc>
        <w:tc>
          <w:tcPr>
            <w:tcW w:w="5811" w:type="dxa"/>
          </w:tcPr>
          <w:p w:rsidR="00FA53DF" w:rsidRDefault="00FA53DF" w:rsidP="00E102F8"/>
        </w:tc>
        <w:tc>
          <w:tcPr>
            <w:tcW w:w="5561" w:type="dxa"/>
          </w:tcPr>
          <w:p w:rsidR="00FA53DF" w:rsidRDefault="00FA53DF" w:rsidP="00E102F8"/>
        </w:tc>
      </w:tr>
      <w:tr w:rsidR="00FA53DF" w:rsidTr="00E102F8">
        <w:tc>
          <w:tcPr>
            <w:tcW w:w="1809" w:type="dxa"/>
            <w:vMerge/>
          </w:tcPr>
          <w:p w:rsidR="00FA53DF" w:rsidRDefault="00FA53DF" w:rsidP="00E102F8"/>
        </w:tc>
        <w:tc>
          <w:tcPr>
            <w:tcW w:w="993" w:type="dxa"/>
            <w:vMerge w:val="restart"/>
          </w:tcPr>
          <w:p w:rsidR="00FA53DF" w:rsidRDefault="00FA53DF" w:rsidP="00E102F8">
            <w:r>
              <w:t>may</w:t>
            </w:r>
          </w:p>
        </w:tc>
        <w:tc>
          <w:tcPr>
            <w:tcW w:w="5811" w:type="dxa"/>
          </w:tcPr>
          <w:p w:rsidR="00FA53DF" w:rsidRDefault="00FA53DF" w:rsidP="004A590A">
            <w:r>
              <w:t>Add non-personal data to the atom store to deliver enhanced services (e.g. local weather data)</w:t>
            </w:r>
          </w:p>
        </w:tc>
        <w:tc>
          <w:tcPr>
            <w:tcW w:w="5561" w:type="dxa"/>
          </w:tcPr>
          <w:p w:rsidR="00FA53DF" w:rsidRDefault="00FA53DF" w:rsidP="00E102F8">
            <w:r>
              <w:t>P1</w:t>
            </w:r>
          </w:p>
          <w:p w:rsidR="00FA53DF" w:rsidRDefault="00FA53DF" w:rsidP="00E102F8">
            <w:r>
              <w:t>While Behavioural Atoms should not be linked out, additional information can be linked in.</w:t>
            </w:r>
          </w:p>
        </w:tc>
      </w:tr>
      <w:tr w:rsidR="00FA53DF" w:rsidTr="00E102F8">
        <w:tc>
          <w:tcPr>
            <w:tcW w:w="1809" w:type="dxa"/>
            <w:vMerge/>
          </w:tcPr>
          <w:p w:rsidR="00FA53DF" w:rsidRDefault="00FA53DF" w:rsidP="00E102F8"/>
        </w:tc>
        <w:tc>
          <w:tcPr>
            <w:tcW w:w="993" w:type="dxa"/>
            <w:vMerge/>
          </w:tcPr>
          <w:p w:rsidR="00FA53DF" w:rsidRDefault="00FA53DF" w:rsidP="00E102F8"/>
        </w:tc>
        <w:tc>
          <w:tcPr>
            <w:tcW w:w="5811" w:type="dxa"/>
          </w:tcPr>
          <w:p w:rsidR="00FA53DF" w:rsidRDefault="00FA53DF" w:rsidP="00E102F8">
            <w:r>
              <w:t>Use suitable aggregation techniques rendering the data non-personal to provide indirect services to other parties</w:t>
            </w:r>
          </w:p>
        </w:tc>
        <w:tc>
          <w:tcPr>
            <w:tcW w:w="5561" w:type="dxa"/>
          </w:tcPr>
          <w:p w:rsidR="00FA53DF" w:rsidRDefault="00FA53DF" w:rsidP="00E102F8">
            <w:r>
              <w:t>P1 &amp; P6</w:t>
            </w:r>
          </w:p>
        </w:tc>
      </w:tr>
      <w:tr w:rsidR="00FA53DF" w:rsidTr="00E102F8">
        <w:tc>
          <w:tcPr>
            <w:tcW w:w="1809" w:type="dxa"/>
            <w:vMerge/>
          </w:tcPr>
          <w:p w:rsidR="00FA53DF" w:rsidRDefault="00FA53DF" w:rsidP="00E102F8"/>
        </w:tc>
        <w:tc>
          <w:tcPr>
            <w:tcW w:w="993" w:type="dxa"/>
            <w:vMerge/>
          </w:tcPr>
          <w:p w:rsidR="00FA53DF" w:rsidRDefault="00FA53DF" w:rsidP="00E102F8"/>
        </w:tc>
        <w:tc>
          <w:tcPr>
            <w:tcW w:w="5811" w:type="dxa"/>
          </w:tcPr>
          <w:p w:rsidR="00FA53DF" w:rsidRDefault="00FA53DF" w:rsidP="00E102F8">
            <w:r>
              <w:t>Host multiple Service Providers</w:t>
            </w:r>
          </w:p>
        </w:tc>
        <w:tc>
          <w:tcPr>
            <w:tcW w:w="5561" w:type="dxa"/>
          </w:tcPr>
          <w:p w:rsidR="00FA53DF" w:rsidRDefault="00FA53DF" w:rsidP="00E102F8"/>
        </w:tc>
      </w:tr>
      <w:tr w:rsidR="00FA53DF" w:rsidTr="00E102F8">
        <w:tc>
          <w:tcPr>
            <w:tcW w:w="1809" w:type="dxa"/>
            <w:vMerge/>
          </w:tcPr>
          <w:p w:rsidR="00FA53DF" w:rsidRDefault="00FA53DF" w:rsidP="00E102F8"/>
        </w:tc>
        <w:tc>
          <w:tcPr>
            <w:tcW w:w="993" w:type="dxa"/>
            <w:vMerge/>
          </w:tcPr>
          <w:p w:rsidR="00FA53DF" w:rsidRDefault="00FA53DF" w:rsidP="00E102F8"/>
        </w:tc>
        <w:tc>
          <w:tcPr>
            <w:tcW w:w="5811" w:type="dxa"/>
          </w:tcPr>
          <w:p w:rsidR="00FA53DF" w:rsidRDefault="00FA53DF" w:rsidP="00E102F8"/>
        </w:tc>
        <w:tc>
          <w:tcPr>
            <w:tcW w:w="5561" w:type="dxa"/>
          </w:tcPr>
          <w:p w:rsidR="00FA53DF" w:rsidRDefault="00FA53DF" w:rsidP="00E102F8"/>
        </w:tc>
      </w:tr>
    </w:tbl>
    <w:p w:rsidR="00A45DD3" w:rsidRDefault="00A45DD3" w:rsidP="00A45DD3"/>
    <w:p w:rsidR="00E20BB8" w:rsidRDefault="00E20BB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811"/>
        <w:gridCol w:w="5561"/>
      </w:tblGrid>
      <w:tr w:rsidR="00A45DD3" w:rsidTr="00E102F8">
        <w:tc>
          <w:tcPr>
            <w:tcW w:w="1809" w:type="dxa"/>
          </w:tcPr>
          <w:p w:rsidR="00A45DD3" w:rsidRPr="00A45DD3" w:rsidRDefault="00A45DD3" w:rsidP="00E102F8">
            <w:pPr>
              <w:rPr>
                <w:b/>
              </w:rPr>
            </w:pPr>
            <w:r w:rsidRPr="00A45DD3">
              <w:rPr>
                <w:b/>
              </w:rPr>
              <w:lastRenderedPageBreak/>
              <w:t>Actor</w:t>
            </w:r>
          </w:p>
        </w:tc>
        <w:tc>
          <w:tcPr>
            <w:tcW w:w="6804" w:type="dxa"/>
            <w:gridSpan w:val="2"/>
          </w:tcPr>
          <w:p w:rsidR="00A45DD3" w:rsidRPr="00A45DD3" w:rsidRDefault="00A06A79" w:rsidP="00E102F8">
            <w:pPr>
              <w:rPr>
                <w:b/>
              </w:rPr>
            </w:pPr>
            <w:r>
              <w:rPr>
                <w:b/>
              </w:rPr>
              <w:t>Technical requirement</w:t>
            </w:r>
          </w:p>
        </w:tc>
        <w:tc>
          <w:tcPr>
            <w:tcW w:w="5561" w:type="dxa"/>
          </w:tcPr>
          <w:p w:rsidR="00A45DD3" w:rsidRPr="00A45DD3" w:rsidRDefault="00A45DD3" w:rsidP="00E102F8">
            <w:pPr>
              <w:rPr>
                <w:b/>
              </w:rPr>
            </w:pPr>
            <w:r w:rsidRPr="00A45DD3">
              <w:rPr>
                <w:b/>
              </w:rPr>
              <w:t>Guiding principle</w:t>
            </w:r>
            <w:r w:rsidR="0029005D">
              <w:rPr>
                <w:b/>
              </w:rPr>
              <w:t>s</w:t>
            </w:r>
            <w:r w:rsidRPr="00A45DD3">
              <w:rPr>
                <w:b/>
              </w:rPr>
              <w:t xml:space="preserve"> &amp; notes</w:t>
            </w:r>
          </w:p>
        </w:tc>
      </w:tr>
      <w:tr w:rsidR="00A45DD3" w:rsidTr="00E102F8">
        <w:tc>
          <w:tcPr>
            <w:tcW w:w="14174" w:type="dxa"/>
            <w:gridSpan w:val="4"/>
          </w:tcPr>
          <w:p w:rsidR="00274CEF" w:rsidRDefault="00274CEF" w:rsidP="00E102F8"/>
          <w:p w:rsidR="00A45DD3" w:rsidRDefault="00274CEF" w:rsidP="00E102F8">
            <w:r w:rsidRPr="009D5E44">
              <w:rPr>
                <w:b/>
              </w:rPr>
              <w:t>Service Providers</w:t>
            </w:r>
            <w:r>
              <w:t xml:space="preserve"> are the primary link between a Consumer and a Data Engine. They are able to query the atoms held by a Data Engine </w:t>
            </w:r>
            <w:r w:rsidR="00190798" w:rsidRPr="00190798">
              <w:t>to develop personalised services for Consumers based</w:t>
            </w:r>
            <w:r w:rsidR="00190798">
              <w:t xml:space="preserve"> on their everyday behaviours.</w:t>
            </w:r>
            <w:r>
              <w:t xml:space="preserve"> Service Providers will often be consumer facing brands.</w:t>
            </w:r>
          </w:p>
          <w:p w:rsidR="00274CEF" w:rsidRDefault="00274CEF" w:rsidP="00E102F8"/>
        </w:tc>
      </w:tr>
      <w:tr w:rsidR="006A1143" w:rsidTr="00E102F8">
        <w:tc>
          <w:tcPr>
            <w:tcW w:w="1809" w:type="dxa"/>
            <w:vMerge w:val="restart"/>
          </w:tcPr>
          <w:p w:rsidR="006A1143" w:rsidRPr="006A1143" w:rsidRDefault="006A1143" w:rsidP="00E102F8">
            <w:pPr>
              <w:rPr>
                <w:b/>
              </w:rPr>
            </w:pPr>
            <w:r w:rsidRPr="006A1143">
              <w:rPr>
                <w:b/>
              </w:rPr>
              <w:t>Service Provider</w:t>
            </w:r>
          </w:p>
        </w:tc>
        <w:tc>
          <w:tcPr>
            <w:tcW w:w="993" w:type="dxa"/>
            <w:vMerge w:val="restart"/>
          </w:tcPr>
          <w:p w:rsidR="006A1143" w:rsidRDefault="0039646A" w:rsidP="00E102F8">
            <w:r>
              <w:t>shall</w:t>
            </w:r>
          </w:p>
        </w:tc>
        <w:tc>
          <w:tcPr>
            <w:tcW w:w="5811" w:type="dxa"/>
          </w:tcPr>
          <w:p w:rsidR="006A1143" w:rsidRDefault="002E38FC" w:rsidP="002E38FC">
            <w:r>
              <w:t>Ensure that their Operators have the minimum standard consent from Consumers</w:t>
            </w:r>
          </w:p>
        </w:tc>
        <w:tc>
          <w:tcPr>
            <w:tcW w:w="5561" w:type="dxa"/>
          </w:tcPr>
          <w:p w:rsidR="006A1143" w:rsidRDefault="000F554A" w:rsidP="00E102F8">
            <w:r>
              <w:t>P3</w:t>
            </w:r>
          </w:p>
        </w:tc>
      </w:tr>
      <w:tr w:rsidR="00A46EC8" w:rsidTr="00E102F8">
        <w:tc>
          <w:tcPr>
            <w:tcW w:w="1809" w:type="dxa"/>
            <w:vMerge/>
          </w:tcPr>
          <w:p w:rsidR="00A46EC8" w:rsidRPr="006A1143" w:rsidRDefault="00A46EC8" w:rsidP="00E102F8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A46EC8" w:rsidRDefault="00A46EC8" w:rsidP="00E102F8"/>
        </w:tc>
        <w:tc>
          <w:tcPr>
            <w:tcW w:w="5811" w:type="dxa"/>
          </w:tcPr>
          <w:p w:rsidR="00A46EC8" w:rsidRDefault="00A46EC8" w:rsidP="009D5E44">
            <w:r>
              <w:t xml:space="preserve">Secure additional consent from Consumers when sending </w:t>
            </w:r>
            <w:r w:rsidR="000900AE">
              <w:t>personal</w:t>
            </w:r>
            <w:r>
              <w:t xml:space="preserve"> information outside the eco-system</w:t>
            </w:r>
          </w:p>
        </w:tc>
        <w:tc>
          <w:tcPr>
            <w:tcW w:w="5561" w:type="dxa"/>
          </w:tcPr>
          <w:p w:rsidR="00A46EC8" w:rsidRDefault="00A46EC8" w:rsidP="00E102F8">
            <w:r>
              <w:t>P3 &amp; P6</w:t>
            </w:r>
          </w:p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/>
          </w:tcPr>
          <w:p w:rsidR="006A1143" w:rsidRDefault="006A1143" w:rsidP="00E102F8"/>
        </w:tc>
        <w:tc>
          <w:tcPr>
            <w:tcW w:w="5811" w:type="dxa"/>
          </w:tcPr>
          <w:p w:rsidR="006A1143" w:rsidRDefault="000F554A" w:rsidP="000F554A">
            <w:r>
              <w:t xml:space="preserve">When sending </w:t>
            </w:r>
            <w:r w:rsidR="00C22948">
              <w:t>Behavioural Atom</w:t>
            </w:r>
            <w:r>
              <w:t xml:space="preserve"> information outside the eco-system, remove the </w:t>
            </w:r>
            <w:proofErr w:type="spellStart"/>
            <w:r w:rsidR="00400B90">
              <w:t>ConsumerID</w:t>
            </w:r>
            <w:proofErr w:type="spellEnd"/>
            <w:r>
              <w:t xml:space="preserve"> and replace with DIPI</w:t>
            </w:r>
          </w:p>
        </w:tc>
        <w:tc>
          <w:tcPr>
            <w:tcW w:w="5561" w:type="dxa"/>
          </w:tcPr>
          <w:p w:rsidR="000900AE" w:rsidRDefault="000F554A" w:rsidP="00E102F8">
            <w:r>
              <w:t>P6</w:t>
            </w:r>
          </w:p>
          <w:p w:rsidR="006A1143" w:rsidRDefault="000F554A" w:rsidP="00E102F8">
            <w:r>
              <w:t xml:space="preserve">This ensures that information that has left the eco-system can </w:t>
            </w:r>
            <w:r w:rsidR="006229AE">
              <w:t xml:space="preserve">be </w:t>
            </w:r>
            <w:r>
              <w:t>clearly identified.</w:t>
            </w:r>
          </w:p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/>
          </w:tcPr>
          <w:p w:rsidR="006A1143" w:rsidRDefault="006A1143" w:rsidP="00E102F8"/>
        </w:tc>
        <w:tc>
          <w:tcPr>
            <w:tcW w:w="5811" w:type="dxa"/>
          </w:tcPr>
          <w:p w:rsidR="006A1143" w:rsidRDefault="00AA1D87" w:rsidP="00E102F8">
            <w:r>
              <w:t>Ens</w:t>
            </w:r>
            <w:r w:rsidR="006229AE">
              <w:t>ure that their Operators follow the specification</w:t>
            </w:r>
          </w:p>
        </w:tc>
        <w:tc>
          <w:tcPr>
            <w:tcW w:w="5561" w:type="dxa"/>
          </w:tcPr>
          <w:p w:rsidR="006A1143" w:rsidRDefault="006229AE" w:rsidP="00E102F8">
            <w:r>
              <w:t>P6</w:t>
            </w:r>
          </w:p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/>
          </w:tcPr>
          <w:p w:rsidR="006A1143" w:rsidRDefault="006A1143" w:rsidP="00E102F8"/>
        </w:tc>
        <w:tc>
          <w:tcPr>
            <w:tcW w:w="5811" w:type="dxa"/>
          </w:tcPr>
          <w:p w:rsidR="006A1143" w:rsidRDefault="00404A83" w:rsidP="00E102F8">
            <w:r>
              <w:t>For any one purpose and at</w:t>
            </w:r>
            <w:r w:rsidR="006229AE">
              <w:t xml:space="preserve"> any one time, have only one Data Engine</w:t>
            </w:r>
          </w:p>
        </w:tc>
        <w:tc>
          <w:tcPr>
            <w:tcW w:w="5561" w:type="dxa"/>
          </w:tcPr>
          <w:p w:rsidR="006A1143" w:rsidRDefault="00BC66AF" w:rsidP="00E102F8">
            <w:r>
              <w:t>Avoids potential data loss for the consumer and ensure the complete audit map of the eco-system.</w:t>
            </w:r>
          </w:p>
        </w:tc>
      </w:tr>
      <w:tr w:rsidR="006229AE" w:rsidTr="00E102F8">
        <w:tc>
          <w:tcPr>
            <w:tcW w:w="1809" w:type="dxa"/>
            <w:vMerge/>
          </w:tcPr>
          <w:p w:rsidR="006229AE" w:rsidRDefault="006229AE" w:rsidP="00E102F8"/>
        </w:tc>
        <w:tc>
          <w:tcPr>
            <w:tcW w:w="993" w:type="dxa"/>
            <w:vMerge/>
          </w:tcPr>
          <w:p w:rsidR="006229AE" w:rsidRDefault="006229AE" w:rsidP="00E102F8"/>
        </w:tc>
        <w:tc>
          <w:tcPr>
            <w:tcW w:w="5811" w:type="dxa"/>
          </w:tcPr>
          <w:p w:rsidR="006229AE" w:rsidRDefault="006229AE" w:rsidP="009D5E44">
            <w:r>
              <w:t>On a request from a Consumer, supply all DIPI</w:t>
            </w:r>
            <w:r w:rsidR="00DB4637">
              <w:t xml:space="preserve">, </w:t>
            </w:r>
            <w:r w:rsidR="000900AE">
              <w:t>Segment Data,</w:t>
            </w:r>
            <w:r>
              <w:t xml:space="preserve"> </w:t>
            </w:r>
            <w:r w:rsidR="00C22948">
              <w:t>Behavioural Atoms</w:t>
            </w:r>
            <w:r w:rsidR="000900AE">
              <w:t xml:space="preserve"> and any stored Report Data</w:t>
            </w:r>
          </w:p>
        </w:tc>
        <w:tc>
          <w:tcPr>
            <w:tcW w:w="5561" w:type="dxa"/>
          </w:tcPr>
          <w:p w:rsidR="000900AE" w:rsidRDefault="00814B27" w:rsidP="00E102F8">
            <w:r>
              <w:t>P2</w:t>
            </w:r>
          </w:p>
          <w:p w:rsidR="006229AE" w:rsidRDefault="006229AE" w:rsidP="00E102F8">
            <w:r>
              <w:t>Basic tenet of EU data protection.</w:t>
            </w:r>
          </w:p>
        </w:tc>
      </w:tr>
      <w:tr w:rsidR="006229AE" w:rsidTr="00E102F8">
        <w:tc>
          <w:tcPr>
            <w:tcW w:w="1809" w:type="dxa"/>
            <w:vMerge/>
          </w:tcPr>
          <w:p w:rsidR="006229AE" w:rsidRDefault="006229AE" w:rsidP="00E102F8"/>
        </w:tc>
        <w:tc>
          <w:tcPr>
            <w:tcW w:w="993" w:type="dxa"/>
            <w:vMerge/>
          </w:tcPr>
          <w:p w:rsidR="006229AE" w:rsidRDefault="006229AE" w:rsidP="00E102F8"/>
        </w:tc>
        <w:tc>
          <w:tcPr>
            <w:tcW w:w="5811" w:type="dxa"/>
          </w:tcPr>
          <w:p w:rsidR="006229AE" w:rsidRDefault="006229AE" w:rsidP="00E102F8">
            <w:r>
              <w:t xml:space="preserve">On a request from a Consumer to be forgotten, remove or render DIPI </w:t>
            </w:r>
            <w:r w:rsidR="00814B27">
              <w:t>to be non-personal</w:t>
            </w:r>
          </w:p>
        </w:tc>
        <w:tc>
          <w:tcPr>
            <w:tcW w:w="5561" w:type="dxa"/>
          </w:tcPr>
          <w:p w:rsidR="006229AE" w:rsidRDefault="00814B27" w:rsidP="00E102F8">
            <w:r>
              <w:t>Basic tenet of EU data protection.</w:t>
            </w:r>
          </w:p>
        </w:tc>
      </w:tr>
      <w:tr w:rsidR="00814B27" w:rsidTr="00E102F8">
        <w:tc>
          <w:tcPr>
            <w:tcW w:w="1809" w:type="dxa"/>
            <w:vMerge/>
          </w:tcPr>
          <w:p w:rsidR="00814B27" w:rsidRDefault="00814B27" w:rsidP="00E102F8"/>
        </w:tc>
        <w:tc>
          <w:tcPr>
            <w:tcW w:w="993" w:type="dxa"/>
            <w:vMerge/>
          </w:tcPr>
          <w:p w:rsidR="00814B27" w:rsidRDefault="00814B27" w:rsidP="00E102F8"/>
        </w:tc>
        <w:tc>
          <w:tcPr>
            <w:tcW w:w="5811" w:type="dxa"/>
          </w:tcPr>
          <w:p w:rsidR="00814B27" w:rsidRDefault="00814B27" w:rsidP="00E102F8">
            <w:r>
              <w:t xml:space="preserve">On a request from a Consumer to be forgotten, instruct their Data Engine remove or render </w:t>
            </w:r>
            <w:r w:rsidR="00BF31E4">
              <w:t>data</w:t>
            </w:r>
            <w:r>
              <w:t xml:space="preserve"> to be non-personal</w:t>
            </w:r>
          </w:p>
        </w:tc>
        <w:tc>
          <w:tcPr>
            <w:tcW w:w="5561" w:type="dxa"/>
          </w:tcPr>
          <w:p w:rsidR="00814B27" w:rsidRDefault="00814B27" w:rsidP="00E102F8">
            <w:r>
              <w:t>P2 &amp; P3</w:t>
            </w:r>
          </w:p>
        </w:tc>
      </w:tr>
      <w:tr w:rsidR="00DB4637" w:rsidTr="00E102F8">
        <w:tc>
          <w:tcPr>
            <w:tcW w:w="1809" w:type="dxa"/>
            <w:vMerge/>
          </w:tcPr>
          <w:p w:rsidR="00DB4637" w:rsidRDefault="00DB4637" w:rsidP="00E102F8"/>
        </w:tc>
        <w:tc>
          <w:tcPr>
            <w:tcW w:w="993" w:type="dxa"/>
            <w:vMerge/>
          </w:tcPr>
          <w:p w:rsidR="00DB4637" w:rsidRDefault="00DB4637" w:rsidP="00E102F8"/>
        </w:tc>
        <w:tc>
          <w:tcPr>
            <w:tcW w:w="5811" w:type="dxa"/>
          </w:tcPr>
          <w:p w:rsidR="00DB4637" w:rsidRDefault="00DB4637" w:rsidP="00E102F8">
            <w:r>
              <w:t>On a request from an Operator or Consumer, provide the identity of the Data Engine</w:t>
            </w:r>
          </w:p>
        </w:tc>
        <w:tc>
          <w:tcPr>
            <w:tcW w:w="5561" w:type="dxa"/>
          </w:tcPr>
          <w:p w:rsidR="00DB4637" w:rsidRDefault="00DB4637" w:rsidP="00E102F8">
            <w:r>
              <w:t>P7</w:t>
            </w:r>
          </w:p>
        </w:tc>
      </w:tr>
      <w:tr w:rsidR="00392E39" w:rsidTr="00E102F8">
        <w:tc>
          <w:tcPr>
            <w:tcW w:w="1809" w:type="dxa"/>
            <w:vMerge/>
          </w:tcPr>
          <w:p w:rsidR="00392E39" w:rsidRDefault="00392E39" w:rsidP="00E102F8"/>
        </w:tc>
        <w:tc>
          <w:tcPr>
            <w:tcW w:w="993" w:type="dxa"/>
            <w:vMerge/>
          </w:tcPr>
          <w:p w:rsidR="00392E39" w:rsidRDefault="00392E39" w:rsidP="00E102F8"/>
        </w:tc>
        <w:tc>
          <w:tcPr>
            <w:tcW w:w="5811" w:type="dxa"/>
          </w:tcPr>
          <w:p w:rsidR="00392E39" w:rsidRDefault="00392E39" w:rsidP="009D5E44">
            <w:r>
              <w:t>Notify Consumers (via Operators) of any mergers and acquisitions or other changes that would result in a change of control over the Consumers’ data</w:t>
            </w:r>
          </w:p>
        </w:tc>
        <w:tc>
          <w:tcPr>
            <w:tcW w:w="5561" w:type="dxa"/>
          </w:tcPr>
          <w:p w:rsidR="00392E39" w:rsidRDefault="00392E39" w:rsidP="00E102F8">
            <w:r>
              <w:t>P7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392E39">
            <w:r>
              <w:t xml:space="preserve">Check the credentials of an Operator every time a request is made to release data for a </w:t>
            </w:r>
            <w:proofErr w:type="spellStart"/>
            <w:r>
              <w:t>ConsumerID</w:t>
            </w:r>
            <w:proofErr w:type="spellEnd"/>
            <w:r>
              <w:t xml:space="preserve"> </w:t>
            </w:r>
          </w:p>
        </w:tc>
        <w:tc>
          <w:tcPr>
            <w:tcW w:w="5561" w:type="dxa"/>
          </w:tcPr>
          <w:p w:rsidR="005C7F79" w:rsidRDefault="005C7F79" w:rsidP="00E102F8">
            <w:r>
              <w:t>Security.</w:t>
            </w:r>
          </w:p>
        </w:tc>
      </w:tr>
      <w:tr w:rsidR="0027013A" w:rsidTr="00E102F8">
        <w:tc>
          <w:tcPr>
            <w:tcW w:w="1809" w:type="dxa"/>
            <w:vMerge/>
          </w:tcPr>
          <w:p w:rsidR="0027013A" w:rsidRDefault="0027013A" w:rsidP="00E102F8"/>
        </w:tc>
        <w:tc>
          <w:tcPr>
            <w:tcW w:w="993" w:type="dxa"/>
            <w:vMerge/>
          </w:tcPr>
          <w:p w:rsidR="0027013A" w:rsidRDefault="0027013A" w:rsidP="00E102F8"/>
        </w:tc>
        <w:tc>
          <w:tcPr>
            <w:tcW w:w="5811" w:type="dxa"/>
          </w:tcPr>
          <w:p w:rsidR="0027013A" w:rsidRDefault="0027013A" w:rsidP="00392E39">
            <w:r>
              <w:t xml:space="preserve">Ensure that all Operators within a specific embodiment are working under equivalent terms (e.g. consent, purpose, retention periods </w:t>
            </w:r>
            <w:proofErr w:type="spellStart"/>
            <w:r>
              <w:t>etc</w:t>
            </w:r>
            <w:proofErr w:type="spellEnd"/>
            <w:r>
              <w:t>).</w:t>
            </w:r>
          </w:p>
        </w:tc>
        <w:tc>
          <w:tcPr>
            <w:tcW w:w="5561" w:type="dxa"/>
          </w:tcPr>
          <w:p w:rsidR="0027013A" w:rsidRDefault="0027013A" w:rsidP="00E102F8">
            <w:r>
              <w:t>P7</w:t>
            </w:r>
          </w:p>
        </w:tc>
      </w:tr>
      <w:tr w:rsidR="000B62DC" w:rsidTr="00E102F8">
        <w:tc>
          <w:tcPr>
            <w:tcW w:w="1809" w:type="dxa"/>
            <w:vMerge/>
          </w:tcPr>
          <w:p w:rsidR="000B62DC" w:rsidRDefault="000B62DC" w:rsidP="00E102F8"/>
        </w:tc>
        <w:tc>
          <w:tcPr>
            <w:tcW w:w="993" w:type="dxa"/>
            <w:vMerge/>
          </w:tcPr>
          <w:p w:rsidR="000B62DC" w:rsidRDefault="000B62DC" w:rsidP="00E102F8"/>
        </w:tc>
        <w:tc>
          <w:tcPr>
            <w:tcW w:w="5811" w:type="dxa"/>
          </w:tcPr>
          <w:p w:rsidR="000B62DC" w:rsidRDefault="000B62DC" w:rsidP="00392E39">
            <w:r>
              <w:t>Use different passwords to interact with different actors in the ecosystem (within the same service embodiment).</w:t>
            </w:r>
          </w:p>
        </w:tc>
        <w:tc>
          <w:tcPr>
            <w:tcW w:w="5561" w:type="dxa"/>
          </w:tcPr>
          <w:p w:rsidR="000B62DC" w:rsidRDefault="000B62DC" w:rsidP="00E102F8">
            <w:r>
              <w:t>Security.</w:t>
            </w:r>
          </w:p>
        </w:tc>
      </w:tr>
      <w:tr w:rsidR="000B62DC" w:rsidTr="00E102F8">
        <w:tc>
          <w:tcPr>
            <w:tcW w:w="1809" w:type="dxa"/>
            <w:vMerge/>
          </w:tcPr>
          <w:p w:rsidR="000B62DC" w:rsidRDefault="000B62DC" w:rsidP="00E102F8"/>
        </w:tc>
        <w:tc>
          <w:tcPr>
            <w:tcW w:w="993" w:type="dxa"/>
            <w:vMerge/>
          </w:tcPr>
          <w:p w:rsidR="000B62DC" w:rsidRDefault="000B62DC" w:rsidP="00E102F8"/>
        </w:tc>
        <w:tc>
          <w:tcPr>
            <w:tcW w:w="5811" w:type="dxa"/>
          </w:tcPr>
          <w:p w:rsidR="000B62DC" w:rsidRDefault="000B62DC" w:rsidP="009D5E44">
            <w:r>
              <w:t xml:space="preserve">Use a different </w:t>
            </w:r>
            <w:proofErr w:type="spellStart"/>
            <w:r>
              <w:t>ServiceProviderID</w:t>
            </w:r>
            <w:proofErr w:type="spellEnd"/>
            <w:r>
              <w:t xml:space="preserve"> for every instance of a service embodiment in which they are an actor</w:t>
            </w:r>
          </w:p>
        </w:tc>
        <w:tc>
          <w:tcPr>
            <w:tcW w:w="5561" w:type="dxa"/>
          </w:tcPr>
          <w:p w:rsidR="000B62DC" w:rsidRDefault="000B62DC" w:rsidP="00E102F8">
            <w:r>
              <w:t>Security.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/>
        </w:tc>
        <w:tc>
          <w:tcPr>
            <w:tcW w:w="5561" w:type="dxa"/>
          </w:tcPr>
          <w:p w:rsidR="005C7F79" w:rsidRDefault="005C7F79" w:rsidP="00E102F8"/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 w:val="restart"/>
          </w:tcPr>
          <w:p w:rsidR="005C7F79" w:rsidRDefault="005C7F79" w:rsidP="00E102F8">
            <w:r>
              <w:t>shall not</w:t>
            </w:r>
          </w:p>
        </w:tc>
        <w:tc>
          <w:tcPr>
            <w:tcW w:w="5811" w:type="dxa"/>
          </w:tcPr>
          <w:p w:rsidR="005C7F79" w:rsidRDefault="005C7F79" w:rsidP="00E102F8">
            <w:r>
              <w:t>Receive Behavioural Atoms directly</w:t>
            </w:r>
          </w:p>
        </w:tc>
        <w:tc>
          <w:tcPr>
            <w:tcW w:w="5561" w:type="dxa"/>
          </w:tcPr>
          <w:p w:rsidR="005C7F79" w:rsidRDefault="005C7F79" w:rsidP="00E102F8">
            <w:r>
              <w:t>P1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>
            <w:r>
              <w:t>Send DIPI to a Data Engine</w:t>
            </w:r>
          </w:p>
        </w:tc>
        <w:tc>
          <w:tcPr>
            <w:tcW w:w="5561" w:type="dxa"/>
          </w:tcPr>
          <w:p w:rsidR="005C7F79" w:rsidRDefault="005C7F79" w:rsidP="00E102F8">
            <w:r>
              <w:t>P1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>
            <w:r>
              <w:t>Share DIPI</w:t>
            </w:r>
            <w:r w:rsidR="0027013A">
              <w:t xml:space="preserve"> or</w:t>
            </w:r>
            <w:r w:rsidR="00F17081">
              <w:t xml:space="preserve"> Behavioural Data</w:t>
            </w:r>
            <w:r w:rsidR="0027013A">
              <w:t xml:space="preserve"> </w:t>
            </w:r>
            <w:r>
              <w:t xml:space="preserve">with another Service Provider without additional </w:t>
            </w:r>
            <w:r w:rsidR="00F17081">
              <w:t xml:space="preserve">informed </w:t>
            </w:r>
            <w:r>
              <w:t xml:space="preserve">consent from the Consumer </w:t>
            </w:r>
          </w:p>
        </w:tc>
        <w:tc>
          <w:tcPr>
            <w:tcW w:w="5561" w:type="dxa"/>
          </w:tcPr>
          <w:p w:rsidR="005C7F79" w:rsidRDefault="005C7F79" w:rsidP="00E102F8">
            <w:r>
              <w:t>P3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>
            <w:r>
              <w:t>Utilise IDA unique pseudonymous keys outside of the ecosystem</w:t>
            </w:r>
          </w:p>
        </w:tc>
        <w:tc>
          <w:tcPr>
            <w:tcW w:w="5561" w:type="dxa"/>
          </w:tcPr>
          <w:p w:rsidR="005C7F79" w:rsidRDefault="005C7F79" w:rsidP="009D5E44">
            <w:pPr>
              <w:tabs>
                <w:tab w:val="left" w:pos="2145"/>
              </w:tabs>
            </w:pPr>
            <w:r>
              <w:t>P1</w:t>
            </w:r>
            <w:r>
              <w:tab/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/>
        </w:tc>
        <w:tc>
          <w:tcPr>
            <w:tcW w:w="5561" w:type="dxa"/>
          </w:tcPr>
          <w:p w:rsidR="005C7F79" w:rsidRDefault="005C7F79" w:rsidP="00E102F8"/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 w:val="restart"/>
          </w:tcPr>
          <w:p w:rsidR="005C7F79" w:rsidRDefault="005C7F79" w:rsidP="00E102F8">
            <w:r>
              <w:t>may</w:t>
            </w:r>
          </w:p>
        </w:tc>
        <w:tc>
          <w:tcPr>
            <w:tcW w:w="5811" w:type="dxa"/>
          </w:tcPr>
          <w:p w:rsidR="005C7F79" w:rsidRDefault="005C7F79" w:rsidP="00E102F8">
            <w:r>
              <w:t>Transfer its operations between Data Engines</w:t>
            </w:r>
          </w:p>
        </w:tc>
        <w:tc>
          <w:tcPr>
            <w:tcW w:w="5561" w:type="dxa"/>
          </w:tcPr>
          <w:p w:rsidR="005C7F79" w:rsidRDefault="005C7F79" w:rsidP="00E102F8">
            <w:r>
              <w:t>Supports open, competitive eco-system.</w:t>
            </w:r>
          </w:p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>
            <w:r>
              <w:t>Host multiple Operators</w:t>
            </w:r>
          </w:p>
        </w:tc>
        <w:tc>
          <w:tcPr>
            <w:tcW w:w="5561" w:type="dxa"/>
          </w:tcPr>
          <w:p w:rsidR="005C7F79" w:rsidRDefault="005C7F79" w:rsidP="00E102F8"/>
        </w:tc>
      </w:tr>
      <w:tr w:rsidR="005C7F79" w:rsidTr="00E102F8">
        <w:tc>
          <w:tcPr>
            <w:tcW w:w="1809" w:type="dxa"/>
            <w:vMerge/>
          </w:tcPr>
          <w:p w:rsidR="005C7F79" w:rsidRDefault="005C7F79" w:rsidP="00E102F8"/>
        </w:tc>
        <w:tc>
          <w:tcPr>
            <w:tcW w:w="993" w:type="dxa"/>
            <w:vMerge/>
          </w:tcPr>
          <w:p w:rsidR="005C7F79" w:rsidRDefault="005C7F79" w:rsidP="00E102F8"/>
        </w:tc>
        <w:tc>
          <w:tcPr>
            <w:tcW w:w="5811" w:type="dxa"/>
          </w:tcPr>
          <w:p w:rsidR="005C7F79" w:rsidRDefault="005C7F79" w:rsidP="00E102F8"/>
        </w:tc>
        <w:tc>
          <w:tcPr>
            <w:tcW w:w="5561" w:type="dxa"/>
          </w:tcPr>
          <w:p w:rsidR="005C7F79" w:rsidRDefault="005C7F79" w:rsidP="00E102F8"/>
        </w:tc>
      </w:tr>
    </w:tbl>
    <w:p w:rsidR="005C7F79" w:rsidRDefault="00FA53DF">
      <w:r>
        <w:br/>
      </w:r>
    </w:p>
    <w:p w:rsidR="00FA53DF" w:rsidRDefault="00FA53D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811"/>
        <w:gridCol w:w="5561"/>
      </w:tblGrid>
      <w:tr w:rsidR="00A45DD3" w:rsidTr="009D5E44">
        <w:tc>
          <w:tcPr>
            <w:tcW w:w="1809" w:type="dxa"/>
          </w:tcPr>
          <w:p w:rsidR="00A45DD3" w:rsidRPr="00A45DD3" w:rsidRDefault="00A45DD3" w:rsidP="00190798">
            <w:pPr>
              <w:rPr>
                <w:b/>
              </w:rPr>
            </w:pPr>
            <w:r w:rsidRPr="00A45DD3">
              <w:rPr>
                <w:b/>
              </w:rPr>
              <w:lastRenderedPageBreak/>
              <w:t>Actor</w:t>
            </w:r>
          </w:p>
        </w:tc>
        <w:tc>
          <w:tcPr>
            <w:tcW w:w="6804" w:type="dxa"/>
            <w:gridSpan w:val="2"/>
          </w:tcPr>
          <w:p w:rsidR="00A45DD3" w:rsidRPr="00A45DD3" w:rsidRDefault="00A06A79" w:rsidP="00190798">
            <w:pPr>
              <w:rPr>
                <w:b/>
              </w:rPr>
            </w:pPr>
            <w:r>
              <w:rPr>
                <w:b/>
              </w:rPr>
              <w:t>Technical requirement</w:t>
            </w:r>
          </w:p>
        </w:tc>
        <w:tc>
          <w:tcPr>
            <w:tcW w:w="5561" w:type="dxa"/>
          </w:tcPr>
          <w:p w:rsidR="00A45DD3" w:rsidRPr="00A45DD3" w:rsidRDefault="00A45DD3" w:rsidP="00190798">
            <w:pPr>
              <w:rPr>
                <w:b/>
              </w:rPr>
            </w:pPr>
            <w:r w:rsidRPr="00A45DD3">
              <w:rPr>
                <w:b/>
              </w:rPr>
              <w:t>Guiding principle</w:t>
            </w:r>
            <w:r w:rsidR="0029005D">
              <w:rPr>
                <w:b/>
              </w:rPr>
              <w:t>s</w:t>
            </w:r>
            <w:r w:rsidRPr="00A45DD3">
              <w:rPr>
                <w:b/>
              </w:rPr>
              <w:t xml:space="preserve"> &amp; notes</w:t>
            </w:r>
          </w:p>
        </w:tc>
      </w:tr>
      <w:tr w:rsidR="00A45DD3" w:rsidTr="009D5E44">
        <w:tc>
          <w:tcPr>
            <w:tcW w:w="14174" w:type="dxa"/>
            <w:gridSpan w:val="4"/>
          </w:tcPr>
          <w:p w:rsidR="00274CEF" w:rsidRDefault="00274CEF" w:rsidP="00190798"/>
          <w:p w:rsidR="00A45DD3" w:rsidRDefault="00274CEF" w:rsidP="00190798">
            <w:r>
              <w:t xml:space="preserve">The </w:t>
            </w:r>
            <w:r w:rsidRPr="009D5E44">
              <w:rPr>
                <w:b/>
              </w:rPr>
              <w:t>Operator</w:t>
            </w:r>
            <w:r>
              <w:t xml:space="preserve"> is the entity that administers the contact with the Consumer. It holds the directly-identifying personal information</w:t>
            </w:r>
            <w:r w:rsidR="000900AE">
              <w:t xml:space="preserve"> (DIPI)</w:t>
            </w:r>
            <w:r>
              <w:t xml:space="preserve"> required to engage with the Consumer. An Operator may be an independent app, exist within a Service Provider or be an independent organisation. Operators only receive information from their Consumers and their Service Provider.</w:t>
            </w:r>
          </w:p>
          <w:p w:rsidR="00274CEF" w:rsidRDefault="00274CEF" w:rsidP="00190798"/>
        </w:tc>
      </w:tr>
      <w:tr w:rsidR="006A1143" w:rsidTr="009D5E44">
        <w:tc>
          <w:tcPr>
            <w:tcW w:w="1809" w:type="dxa"/>
            <w:vMerge w:val="restart"/>
          </w:tcPr>
          <w:p w:rsidR="006A1143" w:rsidRPr="006A1143" w:rsidRDefault="006A1143" w:rsidP="00190798">
            <w:pPr>
              <w:rPr>
                <w:b/>
              </w:rPr>
            </w:pPr>
            <w:r w:rsidRPr="006A1143">
              <w:rPr>
                <w:b/>
              </w:rPr>
              <w:t>Operator</w:t>
            </w:r>
          </w:p>
        </w:tc>
        <w:tc>
          <w:tcPr>
            <w:tcW w:w="993" w:type="dxa"/>
            <w:vMerge w:val="restart"/>
          </w:tcPr>
          <w:p w:rsidR="006A1143" w:rsidRDefault="0039646A" w:rsidP="00190798">
            <w:r>
              <w:t>shall</w:t>
            </w:r>
          </w:p>
        </w:tc>
        <w:tc>
          <w:tcPr>
            <w:tcW w:w="5811" w:type="dxa"/>
          </w:tcPr>
          <w:p w:rsidR="006A1143" w:rsidRDefault="002E38FC" w:rsidP="00190798">
            <w:r>
              <w:t xml:space="preserve">Provide a mechanism for the consumer to access their </w:t>
            </w:r>
            <w:proofErr w:type="spellStart"/>
            <w:r>
              <w:t>C</w:t>
            </w:r>
            <w:r w:rsidR="00B904C6">
              <w:t>onsumerID</w:t>
            </w:r>
            <w:proofErr w:type="spellEnd"/>
          </w:p>
        </w:tc>
        <w:tc>
          <w:tcPr>
            <w:tcW w:w="5561" w:type="dxa"/>
          </w:tcPr>
          <w:p w:rsidR="006A1143" w:rsidRDefault="00BC66AF" w:rsidP="00190798">
            <w:r>
              <w:t>This allows the Identity Authority to audit the ‘forgetting’ process.</w:t>
            </w:r>
          </w:p>
        </w:tc>
      </w:tr>
      <w:tr w:rsidR="006A1143" w:rsidTr="009D5E44">
        <w:tc>
          <w:tcPr>
            <w:tcW w:w="1809" w:type="dxa"/>
            <w:vMerge/>
          </w:tcPr>
          <w:p w:rsidR="006A1143" w:rsidRDefault="006A1143" w:rsidP="00190798"/>
        </w:tc>
        <w:tc>
          <w:tcPr>
            <w:tcW w:w="993" w:type="dxa"/>
            <w:vMerge/>
          </w:tcPr>
          <w:p w:rsidR="006A1143" w:rsidRDefault="006A1143" w:rsidP="00190798"/>
        </w:tc>
        <w:tc>
          <w:tcPr>
            <w:tcW w:w="5811" w:type="dxa"/>
          </w:tcPr>
          <w:p w:rsidR="006A1143" w:rsidRDefault="002E38FC" w:rsidP="00190798">
            <w:r>
              <w:t>Ensure that the minimum standard consent is given by Consumers -  freely, specific &amp; informed</w:t>
            </w:r>
          </w:p>
        </w:tc>
        <w:tc>
          <w:tcPr>
            <w:tcW w:w="5561" w:type="dxa"/>
          </w:tcPr>
          <w:p w:rsidR="006A1143" w:rsidRDefault="00BC66AF" w:rsidP="00190798">
            <w:r>
              <w:t>P3</w:t>
            </w:r>
          </w:p>
        </w:tc>
      </w:tr>
      <w:tr w:rsidR="006A1143" w:rsidTr="009D5E44">
        <w:tc>
          <w:tcPr>
            <w:tcW w:w="1809" w:type="dxa"/>
            <w:vMerge/>
          </w:tcPr>
          <w:p w:rsidR="006A1143" w:rsidRDefault="006A1143" w:rsidP="00190798"/>
        </w:tc>
        <w:tc>
          <w:tcPr>
            <w:tcW w:w="993" w:type="dxa"/>
            <w:vMerge/>
          </w:tcPr>
          <w:p w:rsidR="006A1143" w:rsidRDefault="006A1143" w:rsidP="00190798"/>
        </w:tc>
        <w:tc>
          <w:tcPr>
            <w:tcW w:w="5811" w:type="dxa"/>
          </w:tcPr>
          <w:p w:rsidR="006A1143" w:rsidRDefault="00404A83" w:rsidP="00190798">
            <w:r>
              <w:t>For any one purpose and at</w:t>
            </w:r>
            <w:r w:rsidR="006229AE">
              <w:t xml:space="preserve"> any one time, have only one Service Provider</w:t>
            </w:r>
          </w:p>
        </w:tc>
        <w:tc>
          <w:tcPr>
            <w:tcW w:w="5561" w:type="dxa"/>
          </w:tcPr>
          <w:p w:rsidR="006A1143" w:rsidRDefault="00BC66AF" w:rsidP="00190798">
            <w:r>
              <w:t>Avoids potential data loss for the consumer and ensure the complete audit map of the eco-system.</w:t>
            </w:r>
          </w:p>
        </w:tc>
      </w:tr>
      <w:tr w:rsidR="00DB4637" w:rsidTr="009D5E44">
        <w:tc>
          <w:tcPr>
            <w:tcW w:w="1809" w:type="dxa"/>
            <w:vMerge/>
          </w:tcPr>
          <w:p w:rsidR="00DB4637" w:rsidRDefault="00DB4637" w:rsidP="00190798"/>
        </w:tc>
        <w:tc>
          <w:tcPr>
            <w:tcW w:w="993" w:type="dxa"/>
            <w:vMerge/>
          </w:tcPr>
          <w:p w:rsidR="00DB4637" w:rsidRDefault="00DB4637" w:rsidP="00190798"/>
        </w:tc>
        <w:tc>
          <w:tcPr>
            <w:tcW w:w="5811" w:type="dxa"/>
          </w:tcPr>
          <w:p w:rsidR="00DB4637" w:rsidRDefault="00DB4637" w:rsidP="00190798">
            <w:r>
              <w:t>Clearly identify the Service Provider to the Consumer</w:t>
            </w:r>
          </w:p>
        </w:tc>
        <w:tc>
          <w:tcPr>
            <w:tcW w:w="5561" w:type="dxa"/>
          </w:tcPr>
          <w:p w:rsidR="00DB4637" w:rsidRDefault="00DB4637" w:rsidP="00190798">
            <w:r>
              <w:t>P7</w:t>
            </w:r>
          </w:p>
        </w:tc>
      </w:tr>
      <w:tr w:rsidR="00392E39" w:rsidTr="00190798">
        <w:tc>
          <w:tcPr>
            <w:tcW w:w="1809" w:type="dxa"/>
            <w:vMerge/>
          </w:tcPr>
          <w:p w:rsidR="00392E39" w:rsidRDefault="00392E39" w:rsidP="00190798"/>
        </w:tc>
        <w:tc>
          <w:tcPr>
            <w:tcW w:w="993" w:type="dxa"/>
            <w:vMerge/>
          </w:tcPr>
          <w:p w:rsidR="00392E39" w:rsidRDefault="00392E39" w:rsidP="00190798"/>
        </w:tc>
        <w:tc>
          <w:tcPr>
            <w:tcW w:w="5811" w:type="dxa"/>
          </w:tcPr>
          <w:p w:rsidR="00392E39" w:rsidRDefault="00392E39" w:rsidP="00190798">
            <w:r>
              <w:t>Notify Consumers of any mergers and acquisitions or other changes that would result in a change of control over the Consumers’ data</w:t>
            </w:r>
          </w:p>
        </w:tc>
        <w:tc>
          <w:tcPr>
            <w:tcW w:w="5561" w:type="dxa"/>
          </w:tcPr>
          <w:p w:rsidR="00392E39" w:rsidRDefault="00392E39" w:rsidP="00190798">
            <w:r>
              <w:t>P7</w:t>
            </w:r>
          </w:p>
        </w:tc>
      </w:tr>
      <w:tr w:rsidR="005C7F79" w:rsidTr="00190798">
        <w:tc>
          <w:tcPr>
            <w:tcW w:w="1809" w:type="dxa"/>
            <w:vMerge/>
          </w:tcPr>
          <w:p w:rsidR="005C7F79" w:rsidRDefault="005C7F79" w:rsidP="00190798"/>
        </w:tc>
        <w:tc>
          <w:tcPr>
            <w:tcW w:w="993" w:type="dxa"/>
            <w:vMerge/>
          </w:tcPr>
          <w:p w:rsidR="005C7F79" w:rsidRDefault="005C7F79" w:rsidP="00190798"/>
        </w:tc>
        <w:tc>
          <w:tcPr>
            <w:tcW w:w="5811" w:type="dxa"/>
          </w:tcPr>
          <w:p w:rsidR="005C7F79" w:rsidRDefault="00B904C6" w:rsidP="00190798">
            <w:r>
              <w:t>Hold</w:t>
            </w:r>
            <w:r w:rsidR="005C7F79">
              <w:t xml:space="preserve"> </w:t>
            </w:r>
            <w:proofErr w:type="spellStart"/>
            <w:r>
              <w:t>ConsumerID</w:t>
            </w:r>
            <w:proofErr w:type="spellEnd"/>
            <w:r>
              <w:t xml:space="preserve"> pseudonymous keys with the same security level as DIPI</w:t>
            </w:r>
          </w:p>
        </w:tc>
        <w:tc>
          <w:tcPr>
            <w:tcW w:w="5561" w:type="dxa"/>
          </w:tcPr>
          <w:p w:rsidR="005C7F79" w:rsidRDefault="00B904C6" w:rsidP="00190798">
            <w:r>
              <w:t>Security</w:t>
            </w:r>
          </w:p>
        </w:tc>
      </w:tr>
      <w:tr w:rsidR="000B62DC" w:rsidTr="00190798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>
            <w:r>
              <w:t>Use different passwords to interact with different actors in the ecosystem (within the same service embodiment).</w:t>
            </w:r>
          </w:p>
        </w:tc>
        <w:tc>
          <w:tcPr>
            <w:tcW w:w="5561" w:type="dxa"/>
          </w:tcPr>
          <w:p w:rsidR="000B62DC" w:rsidRDefault="000B62DC" w:rsidP="00190798">
            <w:r>
              <w:t>Security.</w:t>
            </w:r>
          </w:p>
        </w:tc>
      </w:tr>
      <w:tr w:rsidR="000B62DC" w:rsidTr="00190798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>
            <w:r>
              <w:t xml:space="preserve">Use a different </w:t>
            </w:r>
            <w:proofErr w:type="spellStart"/>
            <w:r>
              <w:t>ServiceProviderID</w:t>
            </w:r>
            <w:proofErr w:type="spellEnd"/>
            <w:r>
              <w:t xml:space="preserve"> for every instance of a service embodiment in which they are an actor</w:t>
            </w:r>
          </w:p>
        </w:tc>
        <w:tc>
          <w:tcPr>
            <w:tcW w:w="5561" w:type="dxa"/>
          </w:tcPr>
          <w:p w:rsidR="000B62DC" w:rsidRDefault="000B62DC" w:rsidP="00190798">
            <w:r>
              <w:t>Security.</w:t>
            </w:r>
          </w:p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/>
        </w:tc>
        <w:tc>
          <w:tcPr>
            <w:tcW w:w="5561" w:type="dxa"/>
          </w:tcPr>
          <w:p w:rsidR="000B62DC" w:rsidRDefault="000B62DC" w:rsidP="00190798"/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 w:val="restart"/>
          </w:tcPr>
          <w:p w:rsidR="000B62DC" w:rsidRDefault="000B62DC" w:rsidP="00190798">
            <w:r>
              <w:t>shall not</w:t>
            </w:r>
          </w:p>
        </w:tc>
        <w:tc>
          <w:tcPr>
            <w:tcW w:w="5811" w:type="dxa"/>
          </w:tcPr>
          <w:p w:rsidR="000B62DC" w:rsidRDefault="000B62DC" w:rsidP="00190798">
            <w:r>
              <w:t xml:space="preserve">Store Behavioural Atoms other than for the purposes of transmission to the Data Engine. </w:t>
            </w:r>
          </w:p>
        </w:tc>
        <w:tc>
          <w:tcPr>
            <w:tcW w:w="5561" w:type="dxa"/>
          </w:tcPr>
          <w:p w:rsidR="000B62DC" w:rsidRDefault="000B62DC" w:rsidP="00190798">
            <w:r>
              <w:t>P1</w:t>
            </w:r>
          </w:p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>
            <w:r>
              <w:t>Send DIPI to a Data Engine</w:t>
            </w:r>
          </w:p>
        </w:tc>
        <w:tc>
          <w:tcPr>
            <w:tcW w:w="5561" w:type="dxa"/>
          </w:tcPr>
          <w:p w:rsidR="000B62DC" w:rsidRDefault="000B62DC" w:rsidP="00190798">
            <w:r>
              <w:t>P1</w:t>
            </w:r>
          </w:p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>
            <w:r>
              <w:t xml:space="preserve">Share DIPI with another Operator or Service Provider without additional consent from the Consumer </w:t>
            </w:r>
          </w:p>
        </w:tc>
        <w:tc>
          <w:tcPr>
            <w:tcW w:w="5561" w:type="dxa"/>
          </w:tcPr>
          <w:p w:rsidR="000B62DC" w:rsidRDefault="000B62DC" w:rsidP="00190798">
            <w:r>
              <w:t>P3</w:t>
            </w:r>
          </w:p>
        </w:tc>
      </w:tr>
      <w:tr w:rsidR="000B62DC" w:rsidTr="00190798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>
            <w:r>
              <w:t>Utilise IDA unique pseudonymous keys outside of the ecosystem</w:t>
            </w:r>
          </w:p>
        </w:tc>
        <w:tc>
          <w:tcPr>
            <w:tcW w:w="5561" w:type="dxa"/>
          </w:tcPr>
          <w:p w:rsidR="000B62DC" w:rsidRDefault="000B62DC" w:rsidP="00190798">
            <w:r>
              <w:t>P1</w:t>
            </w:r>
          </w:p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/>
        </w:tc>
        <w:tc>
          <w:tcPr>
            <w:tcW w:w="5561" w:type="dxa"/>
          </w:tcPr>
          <w:p w:rsidR="000B62DC" w:rsidRDefault="000B62DC" w:rsidP="00190798"/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 w:val="restart"/>
          </w:tcPr>
          <w:p w:rsidR="000B62DC" w:rsidRDefault="000B62DC" w:rsidP="00190798">
            <w:r>
              <w:t>may</w:t>
            </w:r>
          </w:p>
        </w:tc>
        <w:tc>
          <w:tcPr>
            <w:tcW w:w="5811" w:type="dxa"/>
          </w:tcPr>
          <w:p w:rsidR="000B62DC" w:rsidRDefault="000B62DC" w:rsidP="00190798">
            <w:r>
              <w:t>Host multiple Consumers</w:t>
            </w:r>
          </w:p>
        </w:tc>
        <w:tc>
          <w:tcPr>
            <w:tcW w:w="5561" w:type="dxa"/>
          </w:tcPr>
          <w:p w:rsidR="000B62DC" w:rsidRDefault="000B62DC" w:rsidP="00190798"/>
        </w:tc>
      </w:tr>
      <w:tr w:rsidR="000B62DC" w:rsidTr="009D5E44">
        <w:tc>
          <w:tcPr>
            <w:tcW w:w="1809" w:type="dxa"/>
            <w:vMerge/>
          </w:tcPr>
          <w:p w:rsidR="000B62DC" w:rsidRDefault="000B62DC" w:rsidP="00190798"/>
        </w:tc>
        <w:tc>
          <w:tcPr>
            <w:tcW w:w="993" w:type="dxa"/>
            <w:vMerge/>
          </w:tcPr>
          <w:p w:rsidR="000B62DC" w:rsidRDefault="000B62DC" w:rsidP="00190798"/>
        </w:tc>
        <w:tc>
          <w:tcPr>
            <w:tcW w:w="5811" w:type="dxa"/>
          </w:tcPr>
          <w:p w:rsidR="000B62DC" w:rsidRDefault="000B62DC" w:rsidP="00190798"/>
        </w:tc>
        <w:tc>
          <w:tcPr>
            <w:tcW w:w="5561" w:type="dxa"/>
          </w:tcPr>
          <w:p w:rsidR="000B62DC" w:rsidRDefault="000B62DC" w:rsidP="00190798"/>
        </w:tc>
      </w:tr>
    </w:tbl>
    <w:p w:rsidR="00190798" w:rsidRDefault="0019079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5811"/>
        <w:gridCol w:w="5561"/>
      </w:tblGrid>
      <w:tr w:rsidR="00A45DD3" w:rsidTr="00E102F8">
        <w:tc>
          <w:tcPr>
            <w:tcW w:w="1809" w:type="dxa"/>
          </w:tcPr>
          <w:p w:rsidR="00A45DD3" w:rsidRPr="00A45DD3" w:rsidRDefault="00A45DD3" w:rsidP="00E102F8">
            <w:pPr>
              <w:rPr>
                <w:b/>
              </w:rPr>
            </w:pPr>
            <w:r w:rsidRPr="00A45DD3">
              <w:rPr>
                <w:b/>
              </w:rPr>
              <w:lastRenderedPageBreak/>
              <w:t>Actor</w:t>
            </w:r>
          </w:p>
        </w:tc>
        <w:tc>
          <w:tcPr>
            <w:tcW w:w="6804" w:type="dxa"/>
            <w:gridSpan w:val="2"/>
          </w:tcPr>
          <w:p w:rsidR="00A45DD3" w:rsidRPr="00A45DD3" w:rsidRDefault="00A06A79" w:rsidP="00E102F8">
            <w:pPr>
              <w:rPr>
                <w:b/>
              </w:rPr>
            </w:pPr>
            <w:r>
              <w:rPr>
                <w:b/>
              </w:rPr>
              <w:t>Technical requirement</w:t>
            </w:r>
          </w:p>
        </w:tc>
        <w:tc>
          <w:tcPr>
            <w:tcW w:w="5561" w:type="dxa"/>
          </w:tcPr>
          <w:p w:rsidR="00A45DD3" w:rsidRPr="00A45DD3" w:rsidRDefault="00A45DD3" w:rsidP="00E102F8">
            <w:pPr>
              <w:rPr>
                <w:b/>
              </w:rPr>
            </w:pPr>
            <w:r w:rsidRPr="00A45DD3">
              <w:rPr>
                <w:b/>
              </w:rPr>
              <w:t>Guiding principle</w:t>
            </w:r>
            <w:r w:rsidR="0029005D">
              <w:rPr>
                <w:b/>
              </w:rPr>
              <w:t>s</w:t>
            </w:r>
            <w:r w:rsidRPr="00A45DD3">
              <w:rPr>
                <w:b/>
              </w:rPr>
              <w:t xml:space="preserve"> &amp; notes</w:t>
            </w:r>
          </w:p>
        </w:tc>
      </w:tr>
      <w:tr w:rsidR="00A45DD3" w:rsidTr="00E102F8">
        <w:tc>
          <w:tcPr>
            <w:tcW w:w="14174" w:type="dxa"/>
            <w:gridSpan w:val="4"/>
          </w:tcPr>
          <w:p w:rsidR="00A233AB" w:rsidRDefault="00A233AB" w:rsidP="00A233AB"/>
          <w:p w:rsidR="00A233AB" w:rsidRDefault="00A233AB" w:rsidP="00A233AB">
            <w:r>
              <w:t xml:space="preserve">The </w:t>
            </w:r>
            <w:r w:rsidRPr="009D5E44">
              <w:rPr>
                <w:b/>
              </w:rPr>
              <w:t>Consumer</w:t>
            </w:r>
            <w:r>
              <w:t xml:space="preserve"> is the generic reference to any individual registered with the eco-system. They may be patients in a healthcare setting, subjects in a trial as well as consumers of a commercial digital service. A Consumer’s primary relationship may be with a Service</w:t>
            </w:r>
            <w:r w:rsidR="00590643">
              <w:t xml:space="preserve"> Provider via a near-invisible O</w:t>
            </w:r>
            <w:r>
              <w:t>perator or with clearly recognisable Operator that is supported by a Service Provider in the background.</w:t>
            </w:r>
          </w:p>
          <w:p w:rsidR="00A45DD3" w:rsidRDefault="00A45DD3" w:rsidP="00E102F8"/>
        </w:tc>
      </w:tr>
      <w:tr w:rsidR="006A1143" w:rsidTr="00E102F8">
        <w:tc>
          <w:tcPr>
            <w:tcW w:w="1809" w:type="dxa"/>
            <w:vMerge w:val="restart"/>
          </w:tcPr>
          <w:p w:rsidR="006A1143" w:rsidRPr="006A1143" w:rsidRDefault="006A1143" w:rsidP="00E102F8">
            <w:pPr>
              <w:rPr>
                <w:b/>
              </w:rPr>
            </w:pPr>
            <w:r w:rsidRPr="006A1143">
              <w:rPr>
                <w:b/>
              </w:rPr>
              <w:t>Consumer</w:t>
            </w:r>
          </w:p>
        </w:tc>
        <w:tc>
          <w:tcPr>
            <w:tcW w:w="993" w:type="dxa"/>
            <w:vMerge w:val="restart"/>
          </w:tcPr>
          <w:p w:rsidR="006A1143" w:rsidRDefault="0039646A" w:rsidP="00E102F8">
            <w:r>
              <w:t>shall</w:t>
            </w:r>
          </w:p>
        </w:tc>
        <w:tc>
          <w:tcPr>
            <w:tcW w:w="5811" w:type="dxa"/>
          </w:tcPr>
          <w:p w:rsidR="006A1143" w:rsidRDefault="006A1143" w:rsidP="00E102F8"/>
        </w:tc>
        <w:tc>
          <w:tcPr>
            <w:tcW w:w="5561" w:type="dxa"/>
          </w:tcPr>
          <w:p w:rsidR="006A1143" w:rsidRDefault="006A1143" w:rsidP="00E102F8"/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/>
          </w:tcPr>
          <w:p w:rsidR="006A1143" w:rsidRDefault="006A1143" w:rsidP="00E102F8"/>
        </w:tc>
        <w:tc>
          <w:tcPr>
            <w:tcW w:w="5811" w:type="dxa"/>
          </w:tcPr>
          <w:p w:rsidR="006A1143" w:rsidRDefault="006A1143" w:rsidP="00E102F8"/>
        </w:tc>
        <w:tc>
          <w:tcPr>
            <w:tcW w:w="5561" w:type="dxa"/>
          </w:tcPr>
          <w:p w:rsidR="006A1143" w:rsidRDefault="006A1143" w:rsidP="00E102F8"/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 w:val="restart"/>
          </w:tcPr>
          <w:p w:rsidR="006A1143" w:rsidRDefault="0039646A" w:rsidP="00E102F8">
            <w:r>
              <w:t>shall</w:t>
            </w:r>
            <w:r w:rsidR="006A1143">
              <w:t xml:space="preserve"> not</w:t>
            </w:r>
          </w:p>
        </w:tc>
        <w:tc>
          <w:tcPr>
            <w:tcW w:w="5811" w:type="dxa"/>
          </w:tcPr>
          <w:p w:rsidR="006A1143" w:rsidRDefault="006A1143" w:rsidP="00E102F8"/>
        </w:tc>
        <w:tc>
          <w:tcPr>
            <w:tcW w:w="5561" w:type="dxa"/>
          </w:tcPr>
          <w:p w:rsidR="006A1143" w:rsidRDefault="006A1143" w:rsidP="00E102F8"/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/>
          </w:tcPr>
          <w:p w:rsidR="006A1143" w:rsidRDefault="006A1143" w:rsidP="00E102F8"/>
        </w:tc>
        <w:tc>
          <w:tcPr>
            <w:tcW w:w="5811" w:type="dxa"/>
          </w:tcPr>
          <w:p w:rsidR="006A1143" w:rsidRDefault="006A1143" w:rsidP="00E102F8"/>
        </w:tc>
        <w:tc>
          <w:tcPr>
            <w:tcW w:w="5561" w:type="dxa"/>
          </w:tcPr>
          <w:p w:rsidR="006A1143" w:rsidRDefault="006A1143" w:rsidP="00E102F8"/>
        </w:tc>
      </w:tr>
      <w:tr w:rsidR="006A1143" w:rsidTr="00E102F8">
        <w:tc>
          <w:tcPr>
            <w:tcW w:w="1809" w:type="dxa"/>
            <w:vMerge/>
          </w:tcPr>
          <w:p w:rsidR="006A1143" w:rsidRDefault="006A1143" w:rsidP="00E102F8"/>
        </w:tc>
        <w:tc>
          <w:tcPr>
            <w:tcW w:w="993" w:type="dxa"/>
            <w:vMerge w:val="restart"/>
          </w:tcPr>
          <w:p w:rsidR="006A1143" w:rsidRDefault="006A1143" w:rsidP="00E102F8">
            <w:r>
              <w:t>may</w:t>
            </w:r>
          </w:p>
        </w:tc>
        <w:tc>
          <w:tcPr>
            <w:tcW w:w="5811" w:type="dxa"/>
          </w:tcPr>
          <w:p w:rsidR="006A1143" w:rsidRDefault="002E38FC" w:rsidP="00E102F8">
            <w:r>
              <w:t>Request to be ‘forgotten’ in the eco-system</w:t>
            </w:r>
          </w:p>
        </w:tc>
        <w:tc>
          <w:tcPr>
            <w:tcW w:w="5561" w:type="dxa"/>
          </w:tcPr>
          <w:p w:rsidR="006A1143" w:rsidRDefault="00590643" w:rsidP="00E102F8">
            <w:r>
              <w:t>Basic tenet of EU data protection.</w:t>
            </w:r>
          </w:p>
        </w:tc>
      </w:tr>
      <w:tr w:rsidR="00590643" w:rsidTr="00E102F8">
        <w:tc>
          <w:tcPr>
            <w:tcW w:w="1809" w:type="dxa"/>
            <w:vMerge/>
          </w:tcPr>
          <w:p w:rsidR="00590643" w:rsidRDefault="00590643" w:rsidP="00E102F8"/>
        </w:tc>
        <w:tc>
          <w:tcPr>
            <w:tcW w:w="993" w:type="dxa"/>
            <w:vMerge/>
          </w:tcPr>
          <w:p w:rsidR="00590643" w:rsidRDefault="00590643" w:rsidP="00E102F8"/>
        </w:tc>
        <w:tc>
          <w:tcPr>
            <w:tcW w:w="5811" w:type="dxa"/>
          </w:tcPr>
          <w:p w:rsidR="00590643" w:rsidRDefault="00590643" w:rsidP="00590643">
            <w:r>
              <w:t>Request the Identity Authority to audit their status in the eco-system</w:t>
            </w:r>
          </w:p>
        </w:tc>
        <w:tc>
          <w:tcPr>
            <w:tcW w:w="5561" w:type="dxa"/>
          </w:tcPr>
          <w:p w:rsidR="00590643" w:rsidRDefault="00590643" w:rsidP="006273A3">
            <w:r>
              <w:t>P5</w:t>
            </w:r>
            <w:r w:rsidR="00DB4637">
              <w:t xml:space="preserve"> &amp; P7</w:t>
            </w:r>
          </w:p>
        </w:tc>
      </w:tr>
      <w:tr w:rsidR="00590643" w:rsidTr="00E102F8">
        <w:tc>
          <w:tcPr>
            <w:tcW w:w="1809" w:type="dxa"/>
            <w:vMerge/>
          </w:tcPr>
          <w:p w:rsidR="00590643" w:rsidRDefault="00590643" w:rsidP="00E102F8"/>
        </w:tc>
        <w:tc>
          <w:tcPr>
            <w:tcW w:w="993" w:type="dxa"/>
            <w:vMerge/>
          </w:tcPr>
          <w:p w:rsidR="00590643" w:rsidRDefault="00590643" w:rsidP="00E102F8"/>
        </w:tc>
        <w:tc>
          <w:tcPr>
            <w:tcW w:w="5811" w:type="dxa"/>
          </w:tcPr>
          <w:p w:rsidR="00590643" w:rsidRDefault="00DB4637" w:rsidP="009D5E44">
            <w:r>
              <w:t xml:space="preserve">Request the </w:t>
            </w:r>
            <w:r w:rsidR="00400B90">
              <w:t>Operator</w:t>
            </w:r>
            <w:r>
              <w:t xml:space="preserve"> to supply </w:t>
            </w:r>
            <w:r w:rsidR="00590643">
              <w:t xml:space="preserve">their </w:t>
            </w:r>
            <w:r w:rsidR="007E0AC0">
              <w:t>DIPI, Segment Data, Behavioural Atoms and any stored Report Data</w:t>
            </w:r>
          </w:p>
        </w:tc>
        <w:tc>
          <w:tcPr>
            <w:tcW w:w="5561" w:type="dxa"/>
          </w:tcPr>
          <w:p w:rsidR="00590643" w:rsidRDefault="00590643" w:rsidP="00E102F8">
            <w:r>
              <w:t>Basic tenet of EU data protection.</w:t>
            </w:r>
          </w:p>
        </w:tc>
      </w:tr>
      <w:tr w:rsidR="00590643" w:rsidTr="00E102F8">
        <w:tc>
          <w:tcPr>
            <w:tcW w:w="1809" w:type="dxa"/>
            <w:vMerge/>
          </w:tcPr>
          <w:p w:rsidR="00590643" w:rsidRDefault="00590643" w:rsidP="00E102F8"/>
        </w:tc>
        <w:tc>
          <w:tcPr>
            <w:tcW w:w="993" w:type="dxa"/>
            <w:vMerge/>
          </w:tcPr>
          <w:p w:rsidR="00590643" w:rsidRDefault="00590643" w:rsidP="00E102F8"/>
        </w:tc>
        <w:tc>
          <w:tcPr>
            <w:tcW w:w="5811" w:type="dxa"/>
          </w:tcPr>
          <w:p w:rsidR="00590643" w:rsidRDefault="00590643" w:rsidP="00E102F8"/>
        </w:tc>
        <w:tc>
          <w:tcPr>
            <w:tcW w:w="5561" w:type="dxa"/>
          </w:tcPr>
          <w:p w:rsidR="00590643" w:rsidRDefault="00590643" w:rsidP="00E102F8"/>
        </w:tc>
      </w:tr>
    </w:tbl>
    <w:p w:rsidR="00A45DD3" w:rsidRDefault="00A45DD3" w:rsidP="00A45DD3"/>
    <w:p w:rsidR="00821196" w:rsidRDefault="00821196">
      <w:r>
        <w:br w:type="page"/>
      </w:r>
    </w:p>
    <w:p w:rsidR="00821196" w:rsidRDefault="00821196">
      <w:pPr>
        <w:sectPr w:rsidR="00821196" w:rsidSect="00A45DD3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821196" w:rsidRPr="00821196" w:rsidRDefault="00821196" w:rsidP="00821196">
      <w:pPr>
        <w:jc w:val="center"/>
        <w:rPr>
          <w:b/>
        </w:rPr>
      </w:pPr>
      <w:r w:rsidRPr="00821196">
        <w:rPr>
          <w:b/>
        </w:rPr>
        <w:lastRenderedPageBreak/>
        <w:t>Principles</w:t>
      </w:r>
    </w:p>
    <w:p w:rsidR="00821196" w:rsidRPr="00821196" w:rsidRDefault="008428FE" w:rsidP="009D5E44">
      <w:pPr>
        <w:spacing w:after="40"/>
        <w:rPr>
          <w:b/>
        </w:rPr>
      </w:pPr>
      <w:r>
        <w:rPr>
          <w:b/>
        </w:rPr>
        <w:t>P1</w:t>
      </w:r>
      <w:r>
        <w:rPr>
          <w:b/>
        </w:rPr>
        <w:tab/>
      </w:r>
      <w:r w:rsidR="00821196" w:rsidRPr="00821196">
        <w:rPr>
          <w:b/>
        </w:rPr>
        <w:t>Data Separation Principle</w:t>
      </w:r>
    </w:p>
    <w:p w:rsidR="00821196" w:rsidRDefault="008428FE" w:rsidP="00821196">
      <w:r>
        <w:t>The specification</w:t>
      </w:r>
      <w:r w:rsidR="00821196">
        <w:t xml:space="preserve"> implements a separation of data types: Data engines keep</w:t>
      </w:r>
      <w:r>
        <w:t xml:space="preserve"> data on </w:t>
      </w:r>
      <w:r>
        <w:rPr>
          <w:i/>
        </w:rPr>
        <w:t>w</w:t>
      </w:r>
      <w:r w:rsidRPr="008428FE">
        <w:rPr>
          <w:i/>
        </w:rPr>
        <w:t>hat</w:t>
      </w:r>
      <w:r>
        <w:t xml:space="preserve"> you do (</w:t>
      </w:r>
      <w:r w:rsidR="00C22948">
        <w:t>Behavioural Atoms</w:t>
      </w:r>
      <w:r w:rsidR="00821196">
        <w:t>)</w:t>
      </w:r>
      <w:r w:rsidR="00BE32FB">
        <w:t xml:space="preserve"> and</w:t>
      </w:r>
      <w:r w:rsidR="00821196">
        <w:t xml:space="preserve"> the Service P</w:t>
      </w:r>
      <w:r>
        <w:t xml:space="preserve">rovider/Operator keeps data on </w:t>
      </w:r>
      <w:proofErr w:type="gramStart"/>
      <w:r w:rsidRPr="008428FE">
        <w:rPr>
          <w:i/>
        </w:rPr>
        <w:t>w</w:t>
      </w:r>
      <w:r w:rsidR="00821196" w:rsidRPr="008428FE">
        <w:rPr>
          <w:i/>
        </w:rPr>
        <w:t>ho</w:t>
      </w:r>
      <w:proofErr w:type="gramEnd"/>
      <w:r w:rsidR="00821196">
        <w:t xml:space="preserve"> you are (DIPI). No single organisation holds both sets of data together. This means that it would need a double</w:t>
      </w:r>
      <w:r>
        <w:t xml:space="preserve"> accidental or malicious disclosure </w:t>
      </w:r>
      <w:r w:rsidR="000F4108">
        <w:t>for</w:t>
      </w:r>
      <w:r w:rsidR="00821196">
        <w:t xml:space="preserve"> connected info</w:t>
      </w:r>
      <w:r w:rsidR="000F4108">
        <w:t>rmation to be released</w:t>
      </w:r>
      <w:r w:rsidR="00821196">
        <w:t xml:space="preserve">. </w:t>
      </w:r>
    </w:p>
    <w:p w:rsidR="00821196" w:rsidRPr="00821196" w:rsidRDefault="008428FE" w:rsidP="009D5E44">
      <w:pPr>
        <w:spacing w:after="40"/>
        <w:rPr>
          <w:b/>
        </w:rPr>
      </w:pPr>
      <w:r>
        <w:rPr>
          <w:b/>
        </w:rPr>
        <w:t>P2</w:t>
      </w:r>
      <w:r>
        <w:rPr>
          <w:b/>
        </w:rPr>
        <w:tab/>
      </w:r>
      <w:r w:rsidR="00821196" w:rsidRPr="00821196">
        <w:rPr>
          <w:b/>
        </w:rPr>
        <w:t>Data Atomisation Principle</w:t>
      </w:r>
    </w:p>
    <w:p w:rsidR="00821196" w:rsidRDefault="00821196" w:rsidP="00821196">
      <w:r>
        <w:t xml:space="preserve">Data is deliberately broken down into a small chunk of information by the Operator and coded with their </w:t>
      </w:r>
      <w:proofErr w:type="spellStart"/>
      <w:r w:rsidR="00400B90">
        <w:t>ConsumerID</w:t>
      </w:r>
      <w:proofErr w:type="spellEnd"/>
      <w:r>
        <w:t xml:space="preserve"> (which implies their atomised consent) – each separate </w:t>
      </w:r>
      <w:r w:rsidR="00C22948">
        <w:t>Behavioural Atom</w:t>
      </w:r>
      <w:r>
        <w:t xml:space="preserve"> has </w:t>
      </w:r>
      <w:r w:rsidR="000F4108">
        <w:t>a very low</w:t>
      </w:r>
      <w:r>
        <w:t xml:space="preserve"> privacy risk. Neither the </w:t>
      </w:r>
      <w:r w:rsidR="00400B90">
        <w:t>Operator</w:t>
      </w:r>
      <w:r>
        <w:t>/</w:t>
      </w:r>
      <w:r w:rsidR="00400B90">
        <w:t>Service Provider</w:t>
      </w:r>
      <w:r>
        <w:t xml:space="preserve"> sees these atoms as raw atoms and can only see compos</w:t>
      </w:r>
      <w:r w:rsidR="008428FE">
        <w:t xml:space="preserve">ite data from </w:t>
      </w:r>
      <w:r w:rsidR="00400B90">
        <w:t>Data Engine</w:t>
      </w:r>
      <w:r w:rsidR="008428FE">
        <w:t xml:space="preserve"> under the</w:t>
      </w:r>
      <w:r>
        <w:t xml:space="preserve"> terms</w:t>
      </w:r>
      <w:r w:rsidR="008428FE">
        <w:t xml:space="preserve"> of the specification</w:t>
      </w:r>
      <w:r>
        <w:t xml:space="preserve">.  </w:t>
      </w:r>
    </w:p>
    <w:p w:rsidR="00821196" w:rsidRPr="00821196" w:rsidRDefault="008428FE" w:rsidP="009D5E44">
      <w:pPr>
        <w:spacing w:after="40"/>
        <w:rPr>
          <w:b/>
        </w:rPr>
      </w:pPr>
      <w:r>
        <w:rPr>
          <w:b/>
        </w:rPr>
        <w:t>P3</w:t>
      </w:r>
      <w:r>
        <w:rPr>
          <w:b/>
        </w:rPr>
        <w:tab/>
      </w:r>
      <w:r w:rsidR="00821196" w:rsidRPr="00821196">
        <w:rPr>
          <w:b/>
        </w:rPr>
        <w:t>Atomised Consent Principle</w:t>
      </w:r>
    </w:p>
    <w:p w:rsidR="00821196" w:rsidRDefault="00821196" w:rsidP="00821196">
      <w:r>
        <w:t>Consumer gives informed consent to the Operator under guideline terms s</w:t>
      </w:r>
      <w:r w:rsidR="008428FE">
        <w:t>et by the specification</w:t>
      </w:r>
      <w:r>
        <w:t xml:space="preserve">. Consent allows the Operator to sign up the consumer with a </w:t>
      </w:r>
      <w:proofErr w:type="spellStart"/>
      <w:r w:rsidR="00400B90">
        <w:t>ConsumerID</w:t>
      </w:r>
      <w:proofErr w:type="spellEnd"/>
      <w:r>
        <w:t xml:space="preserve">. This </w:t>
      </w:r>
      <w:proofErr w:type="spellStart"/>
      <w:r w:rsidR="00400B90">
        <w:t>ConsumerID</w:t>
      </w:r>
      <w:proofErr w:type="spellEnd"/>
      <w:r w:rsidR="008428FE">
        <w:t xml:space="preserve"> is the indicator to Identity Authority and other eco-system</w:t>
      </w:r>
      <w:r>
        <w:t xml:space="preserve"> actors that the consumer has given appropriate consent. Because each and every </w:t>
      </w:r>
      <w:r w:rsidR="00C22948">
        <w:t>Behavioural Atom</w:t>
      </w:r>
      <w:r>
        <w:t xml:space="preserve"> has the </w:t>
      </w:r>
      <w:proofErr w:type="spellStart"/>
      <w:r w:rsidR="00400B90">
        <w:t>ConsumerID</w:t>
      </w:r>
      <w:proofErr w:type="spellEnd"/>
      <w:r>
        <w:t xml:space="preserve">, each atom has that consumers consent written into the structure of the data. Removing the </w:t>
      </w:r>
      <w:proofErr w:type="spellStart"/>
      <w:r w:rsidR="00400B90">
        <w:t>ConsumerID</w:t>
      </w:r>
      <w:proofErr w:type="spellEnd"/>
      <w:r>
        <w:t xml:space="preserve"> from a </w:t>
      </w:r>
      <w:r w:rsidR="00C22948">
        <w:t>Behavioural Atom</w:t>
      </w:r>
      <w:r>
        <w:t xml:space="preserve"> is removing the consent of that individual so the data can no longer be used by either the Operator/Service Provider who signed them up. Now the </w:t>
      </w:r>
      <w:r w:rsidR="00C22948">
        <w:t>Behavioural Atom</w:t>
      </w:r>
      <w:r>
        <w:t xml:space="preserve"> is marked as an Anon-</w:t>
      </w:r>
      <w:proofErr w:type="spellStart"/>
      <w:r w:rsidR="00400B90">
        <w:t>ConsumerID</w:t>
      </w:r>
      <w:proofErr w:type="spellEnd"/>
      <w:r>
        <w:t xml:space="preserve"> atom. Rules applied to these </w:t>
      </w:r>
      <w:r w:rsidR="00C22948">
        <w:t>Behavioural Atoms</w:t>
      </w:r>
      <w:r>
        <w:t xml:space="preserve"> by the </w:t>
      </w:r>
      <w:r w:rsidR="00400B90">
        <w:t>Data Engine</w:t>
      </w:r>
      <w:r>
        <w:t xml:space="preserve"> are different depending on the un-consent from the consumer.</w:t>
      </w:r>
      <w:r w:rsidR="000D76E5">
        <w:t xml:space="preserve"> The time stamp uniquely associated with each </w:t>
      </w:r>
      <w:r w:rsidR="00C22948">
        <w:t>Behavioural Atom</w:t>
      </w:r>
      <w:r w:rsidR="000D76E5">
        <w:t xml:space="preserve"> allows full auditing of this principle. </w:t>
      </w:r>
      <w:r>
        <w:t xml:space="preserve">   </w:t>
      </w:r>
    </w:p>
    <w:p w:rsidR="00821196" w:rsidRPr="00821196" w:rsidRDefault="008428FE" w:rsidP="009D5E44">
      <w:pPr>
        <w:spacing w:after="40"/>
        <w:rPr>
          <w:b/>
        </w:rPr>
      </w:pPr>
      <w:r>
        <w:rPr>
          <w:b/>
        </w:rPr>
        <w:t>P4</w:t>
      </w:r>
      <w:r>
        <w:rPr>
          <w:b/>
        </w:rPr>
        <w:tab/>
      </w:r>
      <w:r w:rsidR="00821196" w:rsidRPr="00821196">
        <w:rPr>
          <w:b/>
        </w:rPr>
        <w:t>Separation of Competence Principle</w:t>
      </w:r>
    </w:p>
    <w:p w:rsidR="00821196" w:rsidRDefault="00821196" w:rsidP="00821196">
      <w:r>
        <w:t xml:space="preserve">Data Engines are expert data handlers. They know how to run robust, secure and always on cloud based data services; they handle </w:t>
      </w:r>
      <w:r w:rsidR="00C22948">
        <w:t>Behavioural Atoms</w:t>
      </w:r>
      <w:r>
        <w:t xml:space="preserve"> NOT </w:t>
      </w:r>
      <w:r w:rsidR="000F4108">
        <w:t>C</w:t>
      </w:r>
      <w:r>
        <w:t xml:space="preserve">onsumers. Service Providers / Operators are experts at Consumer facing / relevant services and handling DIPI; they handle </w:t>
      </w:r>
      <w:r w:rsidR="000F4108">
        <w:t>C</w:t>
      </w:r>
      <w:r>
        <w:t xml:space="preserve">onsumers NOT </w:t>
      </w:r>
      <w:r w:rsidR="00C22948">
        <w:t>Behavioural Atoms</w:t>
      </w:r>
      <w:r>
        <w:t>.</w:t>
      </w:r>
      <w:r w:rsidR="00F46C16">
        <w:t xml:space="preserve"> The Identity Authority is expert at </w:t>
      </w:r>
      <w:r w:rsidR="005C7F79">
        <w:t>overseeing the ecosystem</w:t>
      </w:r>
      <w:r w:rsidR="00F46C16">
        <w:t>.</w:t>
      </w:r>
    </w:p>
    <w:p w:rsidR="00821196" w:rsidRPr="00821196" w:rsidRDefault="008428FE" w:rsidP="009D5E44">
      <w:pPr>
        <w:spacing w:after="40"/>
        <w:rPr>
          <w:b/>
        </w:rPr>
      </w:pPr>
      <w:r>
        <w:rPr>
          <w:b/>
        </w:rPr>
        <w:t>P5</w:t>
      </w:r>
      <w:r>
        <w:rPr>
          <w:b/>
        </w:rPr>
        <w:tab/>
      </w:r>
      <w:r w:rsidR="00821196" w:rsidRPr="00821196">
        <w:rPr>
          <w:b/>
        </w:rPr>
        <w:t>No Conflict of Interest Principle</w:t>
      </w:r>
    </w:p>
    <w:p w:rsidR="00821196" w:rsidRDefault="00821196" w:rsidP="00821196">
      <w:r>
        <w:t xml:space="preserve">Consumers need to see that there are no conflicts around their data. To ensure this, </w:t>
      </w:r>
      <w:r w:rsidR="000D76E5">
        <w:t>the Identity Authority</w:t>
      </w:r>
      <w:r>
        <w:t xml:space="preserve"> acts o</w:t>
      </w:r>
      <w:r w:rsidR="000D76E5">
        <w:t xml:space="preserve">n behalf of the Consumer </w:t>
      </w:r>
      <w:r w:rsidR="00BE32FB">
        <w:t xml:space="preserve">in partnership </w:t>
      </w:r>
      <w:r w:rsidR="000D76E5">
        <w:t xml:space="preserve">with </w:t>
      </w:r>
      <w:r w:rsidR="00400B90">
        <w:t>Operator</w:t>
      </w:r>
      <w:r>
        <w:t>/</w:t>
      </w:r>
      <w:r w:rsidR="00400B90">
        <w:t>Service Provider</w:t>
      </w:r>
      <w:r>
        <w:t xml:space="preserve">, </w:t>
      </w:r>
      <w:r w:rsidR="00400B90">
        <w:t>Data Engine</w:t>
      </w:r>
      <w:r>
        <w:t xml:space="preserve"> and regulators.  </w:t>
      </w:r>
    </w:p>
    <w:p w:rsidR="002A6709" w:rsidRPr="00821196" w:rsidRDefault="00821196" w:rsidP="009D5E44">
      <w:pPr>
        <w:spacing w:after="40"/>
        <w:rPr>
          <w:b/>
        </w:rPr>
      </w:pPr>
      <w:r>
        <w:t xml:space="preserve"> </w:t>
      </w:r>
      <w:r w:rsidR="002A6709">
        <w:rPr>
          <w:b/>
        </w:rPr>
        <w:t>P6</w:t>
      </w:r>
      <w:r w:rsidR="002A6709">
        <w:rPr>
          <w:b/>
        </w:rPr>
        <w:tab/>
        <w:t>Active support</w:t>
      </w:r>
      <w:r w:rsidR="00400B90">
        <w:rPr>
          <w:b/>
        </w:rPr>
        <w:t xml:space="preserve"> P</w:t>
      </w:r>
      <w:r w:rsidR="00BE32FB">
        <w:rPr>
          <w:b/>
        </w:rPr>
        <w:t>rinciple</w:t>
      </w:r>
    </w:p>
    <w:p w:rsidR="00821196" w:rsidRDefault="002A6709" w:rsidP="00821196">
      <w:r>
        <w:t xml:space="preserve">All actors will </w:t>
      </w:r>
      <w:r w:rsidR="00BE32FB">
        <w:t xml:space="preserve">actively </w:t>
      </w:r>
      <w:r>
        <w:t>promote the principles of the specification</w:t>
      </w:r>
      <w:r w:rsidR="00BE32FB">
        <w:t>,</w:t>
      </w:r>
      <w:r w:rsidR="000F554A">
        <w:t xml:space="preserve"> safeguard the structure of the eco-system</w:t>
      </w:r>
      <w:r w:rsidR="00BE32FB">
        <w:t xml:space="preserve"> and support good data practice for both consumers and enterprise.</w:t>
      </w:r>
    </w:p>
    <w:p w:rsidR="00DB4637" w:rsidRPr="00DB4637" w:rsidRDefault="00DB4637" w:rsidP="009D5E44">
      <w:pPr>
        <w:spacing w:after="40"/>
        <w:rPr>
          <w:b/>
        </w:rPr>
      </w:pPr>
      <w:r w:rsidRPr="00DB4637">
        <w:rPr>
          <w:b/>
        </w:rPr>
        <w:t>P7</w:t>
      </w:r>
      <w:r w:rsidRPr="00DB4637">
        <w:rPr>
          <w:b/>
        </w:rPr>
        <w:tab/>
        <w:t>Transparency Principle</w:t>
      </w:r>
    </w:p>
    <w:p w:rsidR="00B105B5" w:rsidRDefault="00DB4637">
      <w:r>
        <w:t>The roles and identities of all the actors in the eco-system who are working together on behalf of a Consumer should be clear and visible to that Consumer.</w:t>
      </w:r>
      <w:r w:rsidR="00B105B5">
        <w:br w:type="page"/>
      </w:r>
    </w:p>
    <w:p w:rsidR="00A45DD3" w:rsidRDefault="00B105B5" w:rsidP="00B105B5">
      <w:pPr>
        <w:jc w:val="center"/>
        <w:rPr>
          <w:b/>
        </w:rPr>
      </w:pPr>
      <w:r w:rsidRPr="00B105B5">
        <w:rPr>
          <w:b/>
        </w:rPr>
        <w:lastRenderedPageBreak/>
        <w:t>Glossary &amp; Nomenclature</w:t>
      </w:r>
    </w:p>
    <w:p w:rsidR="00287076" w:rsidRPr="00B105B5" w:rsidRDefault="00287076" w:rsidP="00B105B5">
      <w:pPr>
        <w:jc w:val="center"/>
        <w:rPr>
          <w:b/>
        </w:rPr>
      </w:pPr>
    </w:p>
    <w:p w:rsidR="00C71EEE" w:rsidRPr="009D5E44" w:rsidRDefault="00C71EEE" w:rsidP="009D5E44">
      <w:pPr>
        <w:spacing w:after="40"/>
        <w:rPr>
          <w:b/>
        </w:rPr>
      </w:pPr>
      <w:r w:rsidRPr="009D5E44">
        <w:rPr>
          <w:b/>
        </w:rPr>
        <w:t>Directly Identifying Personal Information (DIPI)</w:t>
      </w:r>
    </w:p>
    <w:p w:rsidR="006640C2" w:rsidRDefault="006640C2">
      <w:r w:rsidRPr="006640C2">
        <w:t xml:space="preserve">Static or slow-changing data required to provide services to a Consumer including, for example: name, date of birth, contact information, medical/insurance numbers, payment details, etc. </w:t>
      </w:r>
      <w:proofErr w:type="gramStart"/>
      <w:r w:rsidRPr="006640C2">
        <w:t>Specifically excluding all event-based information (Behavioural Data / Atoms).</w:t>
      </w:r>
      <w:proofErr w:type="gramEnd"/>
      <w:r w:rsidRPr="006640C2">
        <w:t xml:space="preserve"> This is information that would be generally known as PII in a USA context.</w:t>
      </w:r>
    </w:p>
    <w:p w:rsidR="006640C2" w:rsidRPr="009D5E44" w:rsidRDefault="006640C2" w:rsidP="009D5E44">
      <w:pPr>
        <w:spacing w:after="40"/>
        <w:rPr>
          <w:b/>
        </w:rPr>
      </w:pPr>
      <w:r w:rsidRPr="009D5E44">
        <w:rPr>
          <w:b/>
        </w:rPr>
        <w:t>Segment Data</w:t>
      </w:r>
    </w:p>
    <w:p w:rsidR="006640C2" w:rsidRDefault="006640C2" w:rsidP="006640C2">
      <w:proofErr w:type="gramStart"/>
      <w:r>
        <w:t xml:space="preserve">Year of birth, gender, home time zone (GMT+/-x) and home </w:t>
      </w:r>
      <w:r w:rsidR="00400B90">
        <w:t>latitude</w:t>
      </w:r>
      <w:r>
        <w:t xml:space="preserve"> to single degree resolution.</w:t>
      </w:r>
      <w:proofErr w:type="gramEnd"/>
    </w:p>
    <w:p w:rsidR="006640C2" w:rsidRPr="009D5E44" w:rsidRDefault="006640C2" w:rsidP="009D5E44">
      <w:pPr>
        <w:spacing w:after="40"/>
        <w:rPr>
          <w:b/>
        </w:rPr>
      </w:pPr>
      <w:r w:rsidRPr="009D5E44">
        <w:rPr>
          <w:b/>
        </w:rPr>
        <w:t>Behavioural Data</w:t>
      </w:r>
    </w:p>
    <w:p w:rsidR="006640C2" w:rsidRDefault="006640C2" w:rsidP="006640C2">
      <w:proofErr w:type="gramStart"/>
      <w:r>
        <w:t>Data that is coded according to the COEL TC protocols with, as a minimum, a Classification of Everyday Liv</w:t>
      </w:r>
      <w:r w:rsidR="00400B90">
        <w:t>ing code, a unique Consumer ID</w:t>
      </w:r>
      <w:r>
        <w:t xml:space="preserve"> and a timestamp.</w:t>
      </w:r>
      <w:proofErr w:type="gramEnd"/>
      <w:r>
        <w:t xml:space="preserve"> A single instance is known as an Atom or Behavioural Atom.</w:t>
      </w:r>
    </w:p>
    <w:p w:rsidR="006640C2" w:rsidRPr="009D5E44" w:rsidRDefault="006640C2" w:rsidP="009D5E44">
      <w:pPr>
        <w:spacing w:after="40"/>
        <w:rPr>
          <w:b/>
        </w:rPr>
      </w:pPr>
      <w:r w:rsidRPr="009D5E44">
        <w:rPr>
          <w:b/>
        </w:rPr>
        <w:t>Report Data</w:t>
      </w:r>
    </w:p>
    <w:p w:rsidR="006640C2" w:rsidRDefault="006640C2" w:rsidP="006640C2">
      <w:r>
        <w:t>Data developed from the analysis of Behavioural Data (Atoms) for the purposes of developing insight and information for the provision of value-add services.</w:t>
      </w:r>
    </w:p>
    <w:p w:rsidR="006640C2" w:rsidRPr="009D5E44" w:rsidRDefault="006640C2" w:rsidP="009D5E44">
      <w:pPr>
        <w:spacing w:after="40"/>
        <w:rPr>
          <w:b/>
        </w:rPr>
      </w:pPr>
      <w:r w:rsidRPr="009D5E44">
        <w:rPr>
          <w:b/>
        </w:rPr>
        <w:t>Aggregated and anonymised summary data</w:t>
      </w:r>
    </w:p>
    <w:p w:rsidR="006640C2" w:rsidRDefault="006640C2" w:rsidP="006640C2">
      <w:r>
        <w:t>Data developed from the analysis of Behavioural Data (Atoms) for the purposes of comparison with Report Data and to deliver business to business services outside the Coelition ecosystem.</w:t>
      </w:r>
    </w:p>
    <w:p w:rsidR="00C71EEE" w:rsidRDefault="00400B90" w:rsidP="009D5E44">
      <w:pPr>
        <w:spacing w:after="40"/>
      </w:pPr>
      <w:proofErr w:type="spellStart"/>
      <w:proofErr w:type="gramStart"/>
      <w:r>
        <w:rPr>
          <w:b/>
        </w:rPr>
        <w:t>ConsumerID</w:t>
      </w:r>
      <w:proofErr w:type="spellEnd"/>
      <w:r w:rsidR="00C71EEE" w:rsidRPr="009D5E44">
        <w:rPr>
          <w:b/>
        </w:rPr>
        <w:t xml:space="preserve"> </w:t>
      </w:r>
      <w:r w:rsidR="00287076">
        <w:tab/>
      </w:r>
      <w:r w:rsidR="00287076">
        <w:tab/>
      </w:r>
      <w:r w:rsidR="00C71EEE">
        <w:t>A</w:t>
      </w:r>
      <w:r w:rsidR="00FA53DF">
        <w:t>n</w:t>
      </w:r>
      <w:r w:rsidR="00C71EEE">
        <w:t xml:space="preserve"> </w:t>
      </w:r>
      <w:r w:rsidR="00FA53DF">
        <w:t xml:space="preserve">IDA unique </w:t>
      </w:r>
      <w:r w:rsidR="002B3912" w:rsidRPr="00190798">
        <w:t xml:space="preserve">pseudonymous </w:t>
      </w:r>
      <w:r w:rsidR="00FA53DF">
        <w:t xml:space="preserve">key </w:t>
      </w:r>
      <w:r w:rsidR="00C71EEE">
        <w:t>for a particular Consumer</w:t>
      </w:r>
      <w:r>
        <w:t>.</w:t>
      </w:r>
      <w:proofErr w:type="gramEnd"/>
    </w:p>
    <w:p w:rsidR="00C71EEE" w:rsidRDefault="00C71EEE" w:rsidP="009D5E44">
      <w:pPr>
        <w:spacing w:after="40"/>
      </w:pPr>
      <w:proofErr w:type="gramStart"/>
      <w:r w:rsidRPr="009D5E44">
        <w:rPr>
          <w:b/>
        </w:rPr>
        <w:t>Anon-</w:t>
      </w:r>
      <w:proofErr w:type="spellStart"/>
      <w:r w:rsidR="00400B90">
        <w:rPr>
          <w:b/>
        </w:rPr>
        <w:t>ConsumerID</w:t>
      </w:r>
      <w:proofErr w:type="spellEnd"/>
      <w:r w:rsidR="00287076">
        <w:rPr>
          <w:b/>
        </w:rPr>
        <w:tab/>
      </w:r>
      <w:r w:rsidR="00FA53DF">
        <w:t xml:space="preserve">An IDA unique </w:t>
      </w:r>
      <w:r w:rsidR="002B3912" w:rsidRPr="00190798">
        <w:t xml:space="preserve">pseudonymous </w:t>
      </w:r>
      <w:r w:rsidR="00FA53DF">
        <w:t xml:space="preserve">key </w:t>
      </w:r>
      <w:r>
        <w:t>for a forgotten Consumer.</w:t>
      </w:r>
      <w:proofErr w:type="gramEnd"/>
      <w:r>
        <w:t xml:space="preserve"> </w:t>
      </w:r>
    </w:p>
    <w:p w:rsidR="00287076" w:rsidRDefault="00400B90" w:rsidP="009D5E44">
      <w:pPr>
        <w:spacing w:after="40"/>
      </w:pPr>
      <w:proofErr w:type="gramStart"/>
      <w:r>
        <w:rPr>
          <w:b/>
        </w:rPr>
        <w:t>ServiceProvider</w:t>
      </w:r>
      <w:r w:rsidR="00287076">
        <w:rPr>
          <w:b/>
        </w:rPr>
        <w:t>.ID</w:t>
      </w:r>
      <w:r w:rsidR="00287076">
        <w:rPr>
          <w:b/>
        </w:rPr>
        <w:tab/>
      </w:r>
      <w:r w:rsidR="00FA53DF">
        <w:t xml:space="preserve">An IDA unique </w:t>
      </w:r>
      <w:r w:rsidR="002B3912" w:rsidRPr="00190798">
        <w:t xml:space="preserve">pseudonymous </w:t>
      </w:r>
      <w:r w:rsidR="00FA53DF">
        <w:t xml:space="preserve">key </w:t>
      </w:r>
      <w:r w:rsidR="00287076">
        <w:t>for a particular Service Provider.</w:t>
      </w:r>
      <w:proofErr w:type="gramEnd"/>
    </w:p>
    <w:p w:rsidR="00287076" w:rsidRDefault="00400B90" w:rsidP="009D5E44">
      <w:pPr>
        <w:spacing w:after="40"/>
      </w:pPr>
      <w:proofErr w:type="gramStart"/>
      <w:r>
        <w:rPr>
          <w:b/>
        </w:rPr>
        <w:t>Operator</w:t>
      </w:r>
      <w:r w:rsidR="00287076">
        <w:rPr>
          <w:b/>
        </w:rPr>
        <w:t>.ID</w:t>
      </w:r>
      <w:r w:rsidR="00287076">
        <w:rPr>
          <w:b/>
        </w:rPr>
        <w:tab/>
      </w:r>
      <w:r w:rsidR="00287076">
        <w:rPr>
          <w:b/>
        </w:rPr>
        <w:tab/>
      </w:r>
      <w:r w:rsidR="00FA53DF">
        <w:t xml:space="preserve">An IDA unique </w:t>
      </w:r>
      <w:r w:rsidR="002B3912" w:rsidRPr="00190798">
        <w:t xml:space="preserve">pseudonymous </w:t>
      </w:r>
      <w:r w:rsidR="00FA53DF">
        <w:t xml:space="preserve">key </w:t>
      </w:r>
      <w:r w:rsidR="00287076">
        <w:t>for a particular Operator.</w:t>
      </w:r>
      <w:proofErr w:type="gramEnd"/>
    </w:p>
    <w:p w:rsidR="00287076" w:rsidRDefault="00287076" w:rsidP="009D5E44">
      <w:pPr>
        <w:spacing w:after="40"/>
      </w:pPr>
      <w:proofErr w:type="gramStart"/>
      <w:r>
        <w:rPr>
          <w:b/>
        </w:rPr>
        <w:t>D</w:t>
      </w:r>
      <w:r w:rsidR="00400B90">
        <w:rPr>
          <w:b/>
        </w:rPr>
        <w:t>evice</w:t>
      </w:r>
      <w:r w:rsidRPr="00F23E50">
        <w:rPr>
          <w:b/>
        </w:rPr>
        <w:t>.ID</w:t>
      </w:r>
      <w:r>
        <w:rPr>
          <w:b/>
        </w:rPr>
        <w:tab/>
      </w:r>
      <w:r w:rsidR="00400B90">
        <w:rPr>
          <w:b/>
        </w:rPr>
        <w:tab/>
      </w:r>
      <w:r w:rsidR="00FA53DF">
        <w:t xml:space="preserve">An IDA unique </w:t>
      </w:r>
      <w:r w:rsidR="002B3912" w:rsidRPr="00190798">
        <w:t xml:space="preserve">pseudonymous </w:t>
      </w:r>
      <w:r w:rsidR="00FA53DF">
        <w:t xml:space="preserve">key </w:t>
      </w:r>
      <w:r>
        <w:t>for a particular consumer device.</w:t>
      </w:r>
      <w:proofErr w:type="gramEnd"/>
    </w:p>
    <w:p w:rsidR="00B105B5" w:rsidRDefault="00B105B5"/>
    <w:sectPr w:rsidR="00B105B5" w:rsidSect="00821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3A" w:rsidRDefault="00EF103A" w:rsidP="009D5E44">
      <w:pPr>
        <w:spacing w:after="0" w:line="240" w:lineRule="auto"/>
      </w:pPr>
      <w:r>
        <w:separator/>
      </w:r>
    </w:p>
  </w:endnote>
  <w:endnote w:type="continuationSeparator" w:id="0">
    <w:p w:rsidR="00EF103A" w:rsidRDefault="00EF103A" w:rsidP="009D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44" w:rsidRDefault="009D5E44">
    <w:pPr>
      <w:pStyle w:val="Footer"/>
    </w:pPr>
    <w:r>
      <w:t>COEL Roles &amp; Principles 27 July 2015 Version 1</w:t>
    </w:r>
    <w:r>
      <w:tab/>
    </w:r>
    <w:r>
      <w:tab/>
      <w:t>Copyright Activinsights Ltd 2015</w:t>
    </w:r>
  </w:p>
  <w:p w:rsidR="009D5E44" w:rsidRDefault="009D5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3A" w:rsidRDefault="00EF103A" w:rsidP="009D5E44">
      <w:pPr>
        <w:spacing w:after="0" w:line="240" w:lineRule="auto"/>
      </w:pPr>
      <w:r>
        <w:separator/>
      </w:r>
    </w:p>
  </w:footnote>
  <w:footnote w:type="continuationSeparator" w:id="0">
    <w:p w:rsidR="00EF103A" w:rsidRDefault="00EF103A" w:rsidP="009D5E4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ed, Matthew">
    <w15:presenceInfo w15:providerId="AD" w15:userId="S-1-5-21-1715567821-1659004503-839522115-2930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3"/>
    <w:rsid w:val="00002FCE"/>
    <w:rsid w:val="000900AE"/>
    <w:rsid w:val="000B62DC"/>
    <w:rsid w:val="000D76E5"/>
    <w:rsid w:val="000F02E6"/>
    <w:rsid w:val="000F4108"/>
    <w:rsid w:val="000F554A"/>
    <w:rsid w:val="00121452"/>
    <w:rsid w:val="00190798"/>
    <w:rsid w:val="002427B7"/>
    <w:rsid w:val="0027013A"/>
    <w:rsid w:val="00274CEF"/>
    <w:rsid w:val="00287076"/>
    <w:rsid w:val="0029005D"/>
    <w:rsid w:val="002A6709"/>
    <w:rsid w:val="002B3912"/>
    <w:rsid w:val="002B42C0"/>
    <w:rsid w:val="002E38FC"/>
    <w:rsid w:val="00392E39"/>
    <w:rsid w:val="0039646A"/>
    <w:rsid w:val="00400B90"/>
    <w:rsid w:val="00404A83"/>
    <w:rsid w:val="004A590A"/>
    <w:rsid w:val="00590643"/>
    <w:rsid w:val="005C7F79"/>
    <w:rsid w:val="005F08B4"/>
    <w:rsid w:val="006229AE"/>
    <w:rsid w:val="00643377"/>
    <w:rsid w:val="00645DF0"/>
    <w:rsid w:val="006474E6"/>
    <w:rsid w:val="006640C2"/>
    <w:rsid w:val="006A1143"/>
    <w:rsid w:val="006D03DC"/>
    <w:rsid w:val="007C6F1C"/>
    <w:rsid w:val="007E0AC0"/>
    <w:rsid w:val="00814B27"/>
    <w:rsid w:val="00821196"/>
    <w:rsid w:val="008428FE"/>
    <w:rsid w:val="0085465C"/>
    <w:rsid w:val="00883685"/>
    <w:rsid w:val="008A79E4"/>
    <w:rsid w:val="009452AF"/>
    <w:rsid w:val="00987DBB"/>
    <w:rsid w:val="009A1D75"/>
    <w:rsid w:val="009A52B7"/>
    <w:rsid w:val="009D5E44"/>
    <w:rsid w:val="009E601A"/>
    <w:rsid w:val="00A06A79"/>
    <w:rsid w:val="00A233AB"/>
    <w:rsid w:val="00A45DD3"/>
    <w:rsid w:val="00A46EC8"/>
    <w:rsid w:val="00AA1D87"/>
    <w:rsid w:val="00AB4D23"/>
    <w:rsid w:val="00AE0F0F"/>
    <w:rsid w:val="00B105B5"/>
    <w:rsid w:val="00B22B4F"/>
    <w:rsid w:val="00B6776F"/>
    <w:rsid w:val="00B904C6"/>
    <w:rsid w:val="00BC66AF"/>
    <w:rsid w:val="00BE32FB"/>
    <w:rsid w:val="00BF31E4"/>
    <w:rsid w:val="00C22948"/>
    <w:rsid w:val="00C55EE1"/>
    <w:rsid w:val="00C71EEE"/>
    <w:rsid w:val="00C974D7"/>
    <w:rsid w:val="00D5223B"/>
    <w:rsid w:val="00D85384"/>
    <w:rsid w:val="00DB4637"/>
    <w:rsid w:val="00DF3DC0"/>
    <w:rsid w:val="00E20BB8"/>
    <w:rsid w:val="00E37A1F"/>
    <w:rsid w:val="00E95942"/>
    <w:rsid w:val="00EB41BB"/>
    <w:rsid w:val="00EF103A"/>
    <w:rsid w:val="00F17081"/>
    <w:rsid w:val="00F46C16"/>
    <w:rsid w:val="00FA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44"/>
  </w:style>
  <w:style w:type="paragraph" w:styleId="Footer">
    <w:name w:val="footer"/>
    <w:basedOn w:val="Normal"/>
    <w:link w:val="FooterChar"/>
    <w:uiPriority w:val="99"/>
    <w:unhideWhenUsed/>
    <w:rsid w:val="009D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44"/>
  </w:style>
  <w:style w:type="paragraph" w:styleId="Footer">
    <w:name w:val="footer"/>
    <w:basedOn w:val="Normal"/>
    <w:link w:val="FooterChar"/>
    <w:uiPriority w:val="99"/>
    <w:unhideWhenUsed/>
    <w:rsid w:val="009D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9ABE-7B22-4F8E-A666-682A9761C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 Langford</dc:creator>
  <cp:lastModifiedBy>Joss Langford</cp:lastModifiedBy>
  <cp:revision>2</cp:revision>
  <cp:lastPrinted>2015-03-16T11:58:00Z</cp:lastPrinted>
  <dcterms:created xsi:type="dcterms:W3CDTF">2015-07-27T07:47:00Z</dcterms:created>
  <dcterms:modified xsi:type="dcterms:W3CDTF">2015-07-27T07:47:00Z</dcterms:modified>
</cp:coreProperties>
</file>