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D0093" w14:textId="72C43148" w:rsidR="00BC33F7" w:rsidRPr="00F54712" w:rsidRDefault="00844F29" w:rsidP="00BC33F7">
      <w:pPr>
        <w:pStyle w:val="ZA"/>
        <w:framePr w:w="10563" w:h="782" w:hRule="exact" w:wrap="notBeside" w:hAnchor="page" w:x="661" w:y="646" w:anchorLock="1"/>
        <w:pBdr>
          <w:bottom w:val="none" w:sz="0" w:space="0" w:color="auto"/>
        </w:pBdr>
        <w:jc w:val="center"/>
        <w:rPr>
          <w:noProof w:val="0"/>
        </w:rPr>
      </w:pPr>
      <w:bookmarkStart w:id="0" w:name="docnumber"/>
      <w:bookmarkStart w:id="1" w:name="_GoBack"/>
      <w:bookmarkEnd w:id="1"/>
      <w:r w:rsidRPr="00F54712">
        <w:rPr>
          <w:noProof w:val="0"/>
          <w:sz w:val="64"/>
        </w:rPr>
        <w:t xml:space="preserve">ETSI </w:t>
      </w:r>
      <w:r w:rsidR="00BC33F7" w:rsidRPr="00F54712">
        <w:rPr>
          <w:noProof w:val="0"/>
          <w:sz w:val="64"/>
        </w:rPr>
        <w:t>TR 1</w:t>
      </w:r>
      <w:r w:rsidR="00E9060F">
        <w:rPr>
          <w:noProof w:val="0"/>
          <w:sz w:val="64"/>
        </w:rPr>
        <w:t>03</w:t>
      </w:r>
      <w:r w:rsidR="00BC33F7" w:rsidRPr="00F54712">
        <w:rPr>
          <w:noProof w:val="0"/>
          <w:sz w:val="64"/>
        </w:rPr>
        <w:t xml:space="preserve"> </w:t>
      </w:r>
      <w:bookmarkEnd w:id="0"/>
      <w:r w:rsidR="00E9060F">
        <w:rPr>
          <w:noProof w:val="0"/>
          <w:sz w:val="64"/>
        </w:rPr>
        <w:t>3</w:t>
      </w:r>
      <w:r w:rsidR="00CD54FA">
        <w:rPr>
          <w:noProof w:val="0"/>
          <w:sz w:val="64"/>
        </w:rPr>
        <w:t>31</w:t>
      </w:r>
      <w:r w:rsidR="00BC33F7" w:rsidRPr="00F54712">
        <w:rPr>
          <w:noProof w:val="0"/>
          <w:sz w:val="64"/>
        </w:rPr>
        <w:t xml:space="preserve"> </w:t>
      </w:r>
      <w:bookmarkStart w:id="2" w:name="docversion"/>
      <w:r w:rsidR="00FE628B" w:rsidRPr="00F54712">
        <w:rPr>
          <w:noProof w:val="0"/>
        </w:rPr>
        <w:t>V</w:t>
      </w:r>
      <w:r w:rsidR="00FE628B">
        <w:rPr>
          <w:noProof w:val="0"/>
        </w:rPr>
        <w:t>1</w:t>
      </w:r>
      <w:r w:rsidR="00BC33F7" w:rsidRPr="00F54712">
        <w:rPr>
          <w:noProof w:val="0"/>
        </w:rPr>
        <w:t>.</w:t>
      </w:r>
      <w:r w:rsidR="00E9060F">
        <w:rPr>
          <w:noProof w:val="0"/>
        </w:rPr>
        <w:t>0</w:t>
      </w:r>
      <w:r w:rsidR="00BC33F7" w:rsidRPr="00F54712">
        <w:rPr>
          <w:noProof w:val="0"/>
        </w:rPr>
        <w:t>.</w:t>
      </w:r>
      <w:bookmarkEnd w:id="2"/>
      <w:r w:rsidR="00F704EE">
        <w:rPr>
          <w:noProof w:val="0"/>
        </w:rPr>
        <w:t>1</w:t>
      </w:r>
      <w:r w:rsidR="00F704EE" w:rsidRPr="00F54712">
        <w:rPr>
          <w:rStyle w:val="ZGSM"/>
          <w:noProof w:val="0"/>
        </w:rPr>
        <w:t xml:space="preserve"> </w:t>
      </w:r>
      <w:r w:rsidR="00BC33F7" w:rsidRPr="00F54712">
        <w:rPr>
          <w:noProof w:val="0"/>
          <w:sz w:val="32"/>
        </w:rPr>
        <w:t>(</w:t>
      </w:r>
      <w:bookmarkStart w:id="3" w:name="docdate"/>
      <w:r w:rsidR="00FE628B">
        <w:rPr>
          <w:noProof w:val="0"/>
          <w:sz w:val="32"/>
        </w:rPr>
        <w:t>2016</w:t>
      </w:r>
      <w:r w:rsidR="00E9060F">
        <w:rPr>
          <w:noProof w:val="0"/>
          <w:sz w:val="32"/>
        </w:rPr>
        <w:t>-</w:t>
      </w:r>
      <w:bookmarkEnd w:id="3"/>
      <w:r w:rsidR="00FE628B">
        <w:rPr>
          <w:noProof w:val="0"/>
          <w:sz w:val="32"/>
        </w:rPr>
        <w:t>0</w:t>
      </w:r>
      <w:r w:rsidR="00F704EE">
        <w:rPr>
          <w:noProof w:val="0"/>
          <w:sz w:val="32"/>
        </w:rPr>
        <w:t>6</w:t>
      </w:r>
      <w:r w:rsidR="00BC33F7" w:rsidRPr="00F54712">
        <w:rPr>
          <w:noProof w:val="0"/>
          <w:sz w:val="32"/>
          <w:szCs w:val="32"/>
        </w:rPr>
        <w:t>)</w:t>
      </w:r>
    </w:p>
    <w:p w14:paraId="4D5BDEFE" w14:textId="77777777" w:rsidR="00BC33F7" w:rsidRPr="00F54712" w:rsidRDefault="00E9060F" w:rsidP="00172200">
      <w:pPr>
        <w:pStyle w:val="ZT"/>
        <w:framePr w:w="10206" w:h="3701" w:hRule="exact" w:wrap="notBeside" w:vAnchor="page" w:hAnchor="page" w:x="880" w:y="7094" w:anchorLock="1"/>
        <w:spacing w:line="240" w:lineRule="auto"/>
        <w:jc w:val="center"/>
      </w:pPr>
      <w:bookmarkStart w:id="4" w:name="doctitle"/>
      <w:r>
        <w:t>CYBER</w:t>
      </w:r>
      <w:r w:rsidR="00BC33F7" w:rsidRPr="00F54712">
        <w:t>;</w:t>
      </w:r>
    </w:p>
    <w:p w14:paraId="58869D13" w14:textId="6AC768A3" w:rsidR="00BC33F7" w:rsidRPr="00F54712" w:rsidRDefault="006B72E7" w:rsidP="00172200">
      <w:pPr>
        <w:pStyle w:val="ZT"/>
        <w:framePr w:w="10206" w:h="3701" w:hRule="exact" w:wrap="notBeside" w:vAnchor="page" w:hAnchor="page" w:x="880" w:y="7094" w:anchorLock="1"/>
        <w:spacing w:line="240" w:lineRule="auto"/>
        <w:jc w:val="center"/>
      </w:pPr>
      <w:r w:rsidRPr="006B72E7">
        <w:t>Structured threat information sharing</w:t>
      </w:r>
    </w:p>
    <w:p w14:paraId="3F44C3D6" w14:textId="77777777" w:rsidR="00BC33F7" w:rsidRPr="00F54712" w:rsidRDefault="00BC33F7" w:rsidP="00BC33F7">
      <w:pPr>
        <w:pStyle w:val="ZT"/>
        <w:framePr w:w="10206" w:h="3701" w:hRule="exact" w:wrap="notBeside" w:vAnchor="page" w:hAnchor="page" w:x="880" w:y="7094" w:anchorLock="1"/>
        <w:spacing w:line="360" w:lineRule="auto"/>
        <w:jc w:val="center"/>
      </w:pPr>
    </w:p>
    <w:p w14:paraId="4C19ABBA" w14:textId="77777777" w:rsidR="00BC33F7" w:rsidRPr="00F54712" w:rsidRDefault="00BC33F7" w:rsidP="00BC33F7">
      <w:pPr>
        <w:pStyle w:val="ZT"/>
        <w:framePr w:w="10206" w:h="3701" w:hRule="exact" w:wrap="notBeside" w:vAnchor="page" w:hAnchor="page" w:x="880" w:y="7094" w:anchorLock="1"/>
        <w:rPr>
          <w:rStyle w:val="ZGSM"/>
        </w:rPr>
      </w:pPr>
    </w:p>
    <w:bookmarkEnd w:id="4"/>
    <w:p w14:paraId="0FDDE740" w14:textId="77777777" w:rsidR="00BC33F7" w:rsidRPr="00F54712" w:rsidRDefault="00BC33F7" w:rsidP="00BC33F7">
      <w:pPr>
        <w:pStyle w:val="ZB"/>
        <w:framePr w:wrap="notBeside" w:hAnchor="page" w:x="901" w:y="1421"/>
        <w:rPr>
          <w:noProof w:val="0"/>
        </w:rPr>
      </w:pPr>
    </w:p>
    <w:p w14:paraId="4EFD2C36" w14:textId="77777777" w:rsidR="00BC33F7" w:rsidRPr="00F54712" w:rsidRDefault="00BC33F7" w:rsidP="00BC33F7"/>
    <w:p w14:paraId="6195E2AA" w14:textId="77777777" w:rsidR="00BC33F7" w:rsidRPr="00F54712" w:rsidRDefault="00BC33F7" w:rsidP="00BC33F7"/>
    <w:p w14:paraId="4E2585CC" w14:textId="77777777" w:rsidR="00BC33F7" w:rsidRPr="00F54712" w:rsidRDefault="00BC33F7" w:rsidP="00BC33F7"/>
    <w:p w14:paraId="108ACE7C" w14:textId="77777777" w:rsidR="00BC33F7" w:rsidRPr="00F54712" w:rsidRDefault="00BC33F7" w:rsidP="00BC33F7"/>
    <w:p w14:paraId="382029B0" w14:textId="77777777" w:rsidR="00BC33F7" w:rsidRPr="00F54712" w:rsidRDefault="00BC33F7" w:rsidP="00BC33F7"/>
    <w:p w14:paraId="44EC1915" w14:textId="77777777" w:rsidR="00BC33F7" w:rsidRPr="00F54712" w:rsidRDefault="00BC33F7" w:rsidP="00BC33F7">
      <w:pPr>
        <w:pStyle w:val="ZB"/>
        <w:framePr w:wrap="notBeside" w:hAnchor="page" w:x="901" w:y="1421"/>
        <w:rPr>
          <w:noProof w:val="0"/>
        </w:rPr>
      </w:pPr>
    </w:p>
    <w:p w14:paraId="308B13CB" w14:textId="77777777" w:rsidR="00BC33F7" w:rsidRPr="00F54712" w:rsidRDefault="00BC33F7" w:rsidP="00BC33F7">
      <w:pPr>
        <w:pStyle w:val="FP"/>
        <w:framePr w:h="1625" w:hRule="exact" w:wrap="notBeside" w:vAnchor="page" w:hAnchor="page" w:x="871" w:y="11581"/>
        <w:spacing w:after="240"/>
        <w:jc w:val="center"/>
        <w:rPr>
          <w:rFonts w:ascii="Arial" w:hAnsi="Arial" w:cs="Arial"/>
          <w:sz w:val="18"/>
          <w:szCs w:val="18"/>
        </w:rPr>
      </w:pPr>
      <w:bookmarkStart w:id="5" w:name="GSBox"/>
    </w:p>
    <w:p w14:paraId="6283326E" w14:textId="77777777" w:rsidR="00BC33F7" w:rsidRPr="00BF4918" w:rsidRDefault="00BC33F7" w:rsidP="00BC33F7">
      <w:pPr>
        <w:pStyle w:val="ZB"/>
        <w:framePr w:w="6341" w:h="450" w:hRule="exact" w:wrap="notBeside" w:hAnchor="page" w:x="811" w:y="5401"/>
        <w:jc w:val="left"/>
        <w:rPr>
          <w:rFonts w:ascii="Century Gothic" w:hAnsi="Century Gothic"/>
          <w:b/>
          <w:i w:val="0"/>
          <w:caps/>
          <w:noProof w:val="0"/>
          <w:color w:val="FFFFFF"/>
          <w:sz w:val="32"/>
          <w:szCs w:val="32"/>
        </w:rPr>
      </w:pPr>
      <w:bookmarkStart w:id="6" w:name="doctypelong"/>
      <w:bookmarkEnd w:id="5"/>
      <w:r w:rsidRPr="00BF4918">
        <w:rPr>
          <w:rFonts w:ascii="Century Gothic" w:hAnsi="Century Gothic"/>
          <w:b/>
          <w:i w:val="0"/>
          <w:caps/>
          <w:noProof w:val="0"/>
          <w:color w:val="FFFFFF"/>
          <w:sz w:val="32"/>
          <w:szCs w:val="32"/>
        </w:rPr>
        <w:t>TECHNICAL REPORT</w:t>
      </w:r>
    </w:p>
    <w:bookmarkEnd w:id="6"/>
    <w:p w14:paraId="5E327E13" w14:textId="77777777" w:rsidR="00BC33F7" w:rsidRPr="00F54712" w:rsidRDefault="00BC33F7" w:rsidP="00BC33F7">
      <w:pPr>
        <w:rPr>
          <w:rFonts w:ascii="Arial" w:hAnsi="Arial" w:cs="Arial"/>
          <w:sz w:val="18"/>
          <w:szCs w:val="18"/>
        </w:rPr>
        <w:sectPr w:rsidR="00BC33F7" w:rsidRPr="00F54712" w:rsidSect="00596098">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14:paraId="521B901E" w14:textId="77777777" w:rsidR="00BC33F7" w:rsidRPr="00F54712" w:rsidRDefault="00BC33F7" w:rsidP="00BC33F7">
      <w:pPr>
        <w:pStyle w:val="FP"/>
        <w:framePr w:wrap="notBeside" w:vAnchor="page" w:hAnchor="page" w:x="1141" w:y="2836"/>
        <w:pBdr>
          <w:bottom w:val="single" w:sz="6" w:space="1" w:color="auto"/>
        </w:pBdr>
        <w:ind w:left="2835" w:right="2835"/>
        <w:jc w:val="center"/>
      </w:pPr>
      <w:bookmarkStart w:id="7" w:name="page2"/>
      <w:r w:rsidRPr="00F54712">
        <w:lastRenderedPageBreak/>
        <w:t>Reference</w:t>
      </w:r>
    </w:p>
    <w:p w14:paraId="0674BA59" w14:textId="77777777" w:rsidR="00BC33F7" w:rsidRPr="00F54712" w:rsidRDefault="00E9060F" w:rsidP="00BC33F7">
      <w:pPr>
        <w:pStyle w:val="FP"/>
        <w:framePr w:wrap="notBeside" w:vAnchor="page" w:hAnchor="page" w:x="1141" w:y="2836"/>
        <w:ind w:left="2268" w:right="2268"/>
        <w:jc w:val="center"/>
        <w:rPr>
          <w:rFonts w:ascii="Arial" w:hAnsi="Arial"/>
          <w:sz w:val="18"/>
        </w:rPr>
      </w:pPr>
      <w:bookmarkStart w:id="8" w:name="docworkitem"/>
      <w:r>
        <w:rPr>
          <w:rFonts w:ascii="Arial" w:hAnsi="Arial"/>
          <w:sz w:val="18"/>
        </w:rPr>
        <w:t>DTR/CYBER-0</w:t>
      </w:r>
      <w:bookmarkEnd w:id="8"/>
      <w:r w:rsidR="00CD54FA">
        <w:rPr>
          <w:rFonts w:ascii="Arial" w:hAnsi="Arial"/>
          <w:sz w:val="18"/>
        </w:rPr>
        <w:t>09</w:t>
      </w:r>
    </w:p>
    <w:p w14:paraId="471DADF1" w14:textId="77777777" w:rsidR="00BC33F7" w:rsidRPr="00F54712" w:rsidRDefault="00BC33F7" w:rsidP="00BC33F7">
      <w:pPr>
        <w:pStyle w:val="FP"/>
        <w:framePr w:wrap="notBeside" w:vAnchor="page" w:hAnchor="page" w:x="1141" w:y="2836"/>
        <w:pBdr>
          <w:bottom w:val="single" w:sz="6" w:space="1" w:color="auto"/>
        </w:pBdr>
        <w:spacing w:before="240"/>
        <w:ind w:left="2835" w:right="2835"/>
        <w:jc w:val="center"/>
      </w:pPr>
      <w:r w:rsidRPr="00F54712">
        <w:t>Keywords</w:t>
      </w:r>
    </w:p>
    <w:p w14:paraId="58A6C693" w14:textId="77777777" w:rsidR="00BC33F7" w:rsidRPr="007C133C" w:rsidRDefault="006B72E7" w:rsidP="00BC33F7">
      <w:pPr>
        <w:pStyle w:val="FP"/>
        <w:framePr w:wrap="notBeside" w:vAnchor="page" w:hAnchor="page" w:x="1141" w:y="2836"/>
        <w:ind w:left="2835" w:right="2835"/>
        <w:jc w:val="center"/>
        <w:rPr>
          <w:rFonts w:ascii="Arial" w:hAnsi="Arial"/>
          <w:sz w:val="18"/>
        </w:rPr>
      </w:pPr>
      <w:r w:rsidRPr="007C133C">
        <w:rPr>
          <w:rFonts w:ascii="Arial" w:hAnsi="Arial"/>
          <w:sz w:val="18"/>
        </w:rPr>
        <w:t xml:space="preserve">Security; </w:t>
      </w:r>
      <w:r w:rsidR="00704C8A" w:rsidRPr="007C133C">
        <w:rPr>
          <w:rFonts w:ascii="Arial" w:hAnsi="Arial"/>
          <w:sz w:val="18"/>
        </w:rPr>
        <w:t xml:space="preserve">threat intelligence; </w:t>
      </w:r>
      <w:r w:rsidRPr="007C133C">
        <w:rPr>
          <w:rFonts w:ascii="Arial" w:hAnsi="Arial"/>
          <w:sz w:val="18"/>
        </w:rPr>
        <w:t>threat analysis</w:t>
      </w:r>
    </w:p>
    <w:p w14:paraId="111CCEF2" w14:textId="77777777" w:rsidR="00BC33F7" w:rsidRPr="007C133C" w:rsidRDefault="00BC33F7" w:rsidP="00BC33F7"/>
    <w:p w14:paraId="193BCFB7" w14:textId="77777777" w:rsidR="00BC33F7" w:rsidRPr="00056A8D" w:rsidRDefault="00BC33F7" w:rsidP="00BC33F7">
      <w:pPr>
        <w:pStyle w:val="FP"/>
        <w:framePr w:wrap="notBeside" w:vAnchor="page" w:hAnchor="page" w:x="1156" w:y="5581"/>
        <w:spacing w:after="240"/>
        <w:ind w:left="2835" w:right="2835"/>
        <w:jc w:val="center"/>
        <w:rPr>
          <w:rFonts w:ascii="Arial" w:hAnsi="Arial"/>
          <w:b/>
          <w:i/>
        </w:rPr>
      </w:pPr>
      <w:bookmarkStart w:id="9" w:name="ETSIinfo"/>
      <w:r w:rsidRPr="00056A8D">
        <w:rPr>
          <w:rFonts w:ascii="Arial" w:hAnsi="Arial"/>
          <w:b/>
          <w:i/>
        </w:rPr>
        <w:t>ETSI</w:t>
      </w:r>
    </w:p>
    <w:p w14:paraId="269C62FE" w14:textId="77777777" w:rsidR="00BC33F7" w:rsidRPr="00F54712" w:rsidRDefault="00BC33F7" w:rsidP="00BC33F7">
      <w:pPr>
        <w:pStyle w:val="FP"/>
        <w:framePr w:wrap="notBeside" w:vAnchor="page" w:hAnchor="page" w:x="1156" w:y="5581"/>
        <w:pBdr>
          <w:bottom w:val="single" w:sz="6" w:space="1" w:color="auto"/>
        </w:pBdr>
        <w:ind w:left="2835" w:right="2835"/>
        <w:jc w:val="center"/>
        <w:rPr>
          <w:rFonts w:ascii="Arial" w:hAnsi="Arial"/>
          <w:sz w:val="18"/>
          <w:lang w:val="fr-FR"/>
        </w:rPr>
      </w:pPr>
      <w:r w:rsidRPr="00F54712">
        <w:rPr>
          <w:rFonts w:ascii="Arial" w:hAnsi="Arial"/>
          <w:sz w:val="18"/>
          <w:lang w:val="fr-FR"/>
        </w:rPr>
        <w:t>650 Route des Lucioles</w:t>
      </w:r>
    </w:p>
    <w:p w14:paraId="588E7700" w14:textId="77777777" w:rsidR="00BC33F7" w:rsidRPr="00F54712" w:rsidRDefault="00BC33F7" w:rsidP="00BC33F7">
      <w:pPr>
        <w:pStyle w:val="FP"/>
        <w:framePr w:wrap="notBeside" w:vAnchor="page" w:hAnchor="page" w:x="1156" w:y="5581"/>
        <w:pBdr>
          <w:bottom w:val="single" w:sz="6" w:space="1" w:color="auto"/>
        </w:pBdr>
        <w:ind w:left="2835" w:right="2835"/>
        <w:jc w:val="center"/>
        <w:rPr>
          <w:lang w:val="fr-FR"/>
        </w:rPr>
      </w:pPr>
      <w:r w:rsidRPr="00F54712">
        <w:rPr>
          <w:rFonts w:ascii="Arial" w:hAnsi="Arial"/>
          <w:sz w:val="18"/>
          <w:lang w:val="fr-FR"/>
        </w:rPr>
        <w:t>F-06921 Sophia Antipolis Cedex - FRANCE</w:t>
      </w:r>
    </w:p>
    <w:p w14:paraId="6C7814D6" w14:textId="77777777" w:rsidR="00BC33F7" w:rsidRPr="00F54712" w:rsidRDefault="00BC33F7" w:rsidP="00BC33F7">
      <w:pPr>
        <w:pStyle w:val="FP"/>
        <w:framePr w:wrap="notBeside" w:vAnchor="page" w:hAnchor="page" w:x="1156" w:y="5581"/>
        <w:ind w:left="2835" w:right="2835"/>
        <w:jc w:val="center"/>
        <w:rPr>
          <w:rFonts w:ascii="Arial" w:hAnsi="Arial"/>
          <w:sz w:val="18"/>
          <w:lang w:val="fr-FR"/>
        </w:rPr>
      </w:pPr>
    </w:p>
    <w:p w14:paraId="55C44DC7" w14:textId="77777777" w:rsidR="00BC33F7" w:rsidRPr="00F54712" w:rsidRDefault="00BC33F7" w:rsidP="00BC33F7">
      <w:pPr>
        <w:pStyle w:val="FP"/>
        <w:framePr w:wrap="notBeside" w:vAnchor="page" w:hAnchor="page" w:x="1156" w:y="5581"/>
        <w:spacing w:after="20"/>
        <w:ind w:left="2835" w:right="2835"/>
        <w:jc w:val="center"/>
        <w:rPr>
          <w:rFonts w:ascii="Arial" w:hAnsi="Arial"/>
          <w:sz w:val="18"/>
          <w:lang w:val="fr-FR"/>
        </w:rPr>
      </w:pPr>
      <w:r w:rsidRPr="00F54712">
        <w:rPr>
          <w:rFonts w:ascii="Arial" w:hAnsi="Arial"/>
          <w:sz w:val="18"/>
          <w:lang w:val="fr-FR"/>
        </w:rPr>
        <w:t>Tel.: +33 4 92 94 42 00   Fax: +33 4 93 65 47 16</w:t>
      </w:r>
    </w:p>
    <w:p w14:paraId="66E8A4D5" w14:textId="77777777" w:rsidR="00BC33F7" w:rsidRPr="00F54712" w:rsidRDefault="00BC33F7" w:rsidP="00BC33F7">
      <w:pPr>
        <w:pStyle w:val="FP"/>
        <w:framePr w:wrap="notBeside" w:vAnchor="page" w:hAnchor="page" w:x="1156" w:y="5581"/>
        <w:ind w:left="2835" w:right="2835"/>
        <w:jc w:val="center"/>
        <w:rPr>
          <w:rFonts w:ascii="Arial" w:hAnsi="Arial"/>
          <w:sz w:val="15"/>
          <w:lang w:val="fr-FR"/>
        </w:rPr>
      </w:pPr>
    </w:p>
    <w:p w14:paraId="06085B8B" w14:textId="77777777" w:rsidR="00BC33F7" w:rsidRPr="00F54712" w:rsidRDefault="00BC33F7" w:rsidP="00BC33F7">
      <w:pPr>
        <w:pStyle w:val="FP"/>
        <w:framePr w:wrap="notBeside" w:vAnchor="page" w:hAnchor="page" w:x="1156" w:y="5581"/>
        <w:ind w:left="2835" w:right="2835"/>
        <w:jc w:val="center"/>
        <w:rPr>
          <w:rFonts w:ascii="Arial" w:hAnsi="Arial"/>
          <w:sz w:val="15"/>
          <w:lang w:val="fr-FR"/>
        </w:rPr>
      </w:pPr>
      <w:r w:rsidRPr="00F54712">
        <w:rPr>
          <w:rFonts w:ascii="Arial" w:hAnsi="Arial"/>
          <w:sz w:val="15"/>
          <w:lang w:val="fr-FR"/>
        </w:rPr>
        <w:t>Siret N° 348 623 562 00017 - NAF 742 C</w:t>
      </w:r>
    </w:p>
    <w:p w14:paraId="09ACA703" w14:textId="77777777" w:rsidR="00BC33F7" w:rsidRPr="00F54712" w:rsidRDefault="00BC33F7" w:rsidP="00BC33F7">
      <w:pPr>
        <w:pStyle w:val="FP"/>
        <w:framePr w:wrap="notBeside" w:vAnchor="page" w:hAnchor="page" w:x="1156" w:y="5581"/>
        <w:ind w:left="2835" w:right="2835"/>
        <w:jc w:val="center"/>
        <w:rPr>
          <w:rFonts w:ascii="Arial" w:hAnsi="Arial"/>
          <w:sz w:val="15"/>
          <w:lang w:val="fr-FR"/>
        </w:rPr>
      </w:pPr>
      <w:r w:rsidRPr="00F54712">
        <w:rPr>
          <w:rFonts w:ascii="Arial" w:hAnsi="Arial"/>
          <w:sz w:val="15"/>
          <w:lang w:val="fr-FR"/>
        </w:rPr>
        <w:t>Association à but non lucratif enregistrée à la</w:t>
      </w:r>
    </w:p>
    <w:p w14:paraId="3F8FC474" w14:textId="77777777" w:rsidR="00BC33F7" w:rsidRPr="00F54712" w:rsidRDefault="00F54712" w:rsidP="00BC33F7">
      <w:pPr>
        <w:pStyle w:val="FP"/>
        <w:framePr w:wrap="notBeside" w:vAnchor="page" w:hAnchor="page" w:x="1156" w:y="5581"/>
        <w:ind w:left="2835" w:right="2835"/>
        <w:jc w:val="center"/>
        <w:rPr>
          <w:rFonts w:ascii="Arial" w:hAnsi="Arial"/>
          <w:sz w:val="15"/>
          <w:lang w:val="fr-FR"/>
        </w:rPr>
      </w:pPr>
      <w:r w:rsidRPr="00F54712">
        <w:rPr>
          <w:rFonts w:ascii="Arial" w:hAnsi="Arial"/>
          <w:sz w:val="15"/>
          <w:lang w:val="fr-FR"/>
        </w:rPr>
        <w:t>Sous-préfecture</w:t>
      </w:r>
      <w:r w:rsidR="00BC33F7" w:rsidRPr="00F54712">
        <w:rPr>
          <w:rFonts w:ascii="Arial" w:hAnsi="Arial"/>
          <w:sz w:val="15"/>
          <w:lang w:val="fr-FR"/>
        </w:rPr>
        <w:t xml:space="preserve"> de Grasse (06) N° 7803/88</w:t>
      </w:r>
    </w:p>
    <w:p w14:paraId="09706FFC" w14:textId="77777777" w:rsidR="00BC33F7" w:rsidRPr="004350D1" w:rsidRDefault="00BC33F7" w:rsidP="00BC33F7">
      <w:pPr>
        <w:pStyle w:val="FP"/>
        <w:framePr w:wrap="notBeside" w:vAnchor="page" w:hAnchor="page" w:x="1156" w:y="5581"/>
        <w:ind w:left="2835" w:right="2835"/>
        <w:jc w:val="center"/>
        <w:rPr>
          <w:rFonts w:ascii="Arial" w:hAnsi="Arial"/>
          <w:sz w:val="18"/>
          <w:lang w:val="fr-FR"/>
        </w:rPr>
      </w:pPr>
    </w:p>
    <w:bookmarkEnd w:id="9"/>
    <w:p w14:paraId="3984C1DB" w14:textId="77777777" w:rsidR="00BC33F7" w:rsidRPr="004350D1" w:rsidRDefault="00BC33F7" w:rsidP="00BC33F7">
      <w:pPr>
        <w:rPr>
          <w:lang w:val="fr-FR"/>
        </w:rPr>
      </w:pPr>
    </w:p>
    <w:p w14:paraId="350DC7F3" w14:textId="77777777" w:rsidR="00BC33F7" w:rsidRPr="004350D1" w:rsidRDefault="00BC33F7" w:rsidP="00BC33F7">
      <w:pPr>
        <w:rPr>
          <w:lang w:val="fr-FR"/>
        </w:rPr>
      </w:pPr>
    </w:p>
    <w:bookmarkEnd w:id="7"/>
    <w:p w14:paraId="6CBC8380" w14:textId="77777777" w:rsidR="00BC33F7" w:rsidRPr="00F54712" w:rsidRDefault="00BC33F7" w:rsidP="00BC33F7">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F54712">
        <w:rPr>
          <w:rFonts w:ascii="Arial" w:hAnsi="Arial"/>
          <w:b/>
          <w:i/>
        </w:rPr>
        <w:t>Important notice</w:t>
      </w:r>
    </w:p>
    <w:p w14:paraId="170DB79E" w14:textId="77777777" w:rsidR="0016424C" w:rsidRPr="00F54712" w:rsidRDefault="0016424C" w:rsidP="0016424C">
      <w:pPr>
        <w:pStyle w:val="FP"/>
        <w:framePr w:h="6890" w:hRule="exact" w:wrap="notBeside" w:vAnchor="page" w:hAnchor="page" w:x="1036" w:y="8926"/>
        <w:spacing w:after="240"/>
        <w:jc w:val="center"/>
        <w:rPr>
          <w:rFonts w:ascii="Arial" w:hAnsi="Arial" w:cs="Arial"/>
          <w:sz w:val="18"/>
        </w:rPr>
      </w:pPr>
      <w:r w:rsidRPr="00F54712">
        <w:rPr>
          <w:rFonts w:ascii="Arial" w:hAnsi="Arial" w:cs="Arial"/>
          <w:sz w:val="18"/>
        </w:rPr>
        <w:t>The present document can be downloaded from:</w:t>
      </w:r>
      <w:r w:rsidRPr="00F54712">
        <w:rPr>
          <w:rFonts w:ascii="Arial" w:hAnsi="Arial" w:cs="Arial"/>
          <w:sz w:val="18"/>
        </w:rPr>
        <w:br/>
      </w:r>
      <w:hyperlink r:id="rId11" w:history="1">
        <w:r w:rsidRPr="00F54712">
          <w:rPr>
            <w:rStyle w:val="Hyperlink"/>
            <w:rFonts w:ascii="Arial" w:hAnsi="Arial"/>
            <w:sz w:val="18"/>
          </w:rPr>
          <w:t>http://www.etsi.org</w:t>
        </w:r>
      </w:hyperlink>
    </w:p>
    <w:p w14:paraId="0449F474" w14:textId="77777777" w:rsidR="0016424C" w:rsidRPr="00F54712" w:rsidRDefault="0016424C" w:rsidP="0016424C">
      <w:pPr>
        <w:pStyle w:val="FP"/>
        <w:framePr w:h="6890" w:hRule="exact" w:wrap="notBeside" w:vAnchor="page" w:hAnchor="page" w:x="1036" w:y="8926"/>
        <w:spacing w:after="240"/>
        <w:jc w:val="center"/>
        <w:rPr>
          <w:rFonts w:ascii="Arial" w:hAnsi="Arial" w:cs="Arial"/>
          <w:sz w:val="18"/>
        </w:rPr>
      </w:pPr>
      <w:r w:rsidRPr="00F54712">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F54712">
        <w:rPr>
          <w:rFonts w:ascii="Arial" w:hAnsi="Arial" w:cs="Arial"/>
          <w:color w:val="000000"/>
          <w:sz w:val="18"/>
        </w:rPr>
        <w:t xml:space="preserve"> print of the Portable Document Format (PDF) version kept on a specific network drive within </w:t>
      </w:r>
      <w:r w:rsidRPr="00F54712">
        <w:rPr>
          <w:rFonts w:ascii="Arial" w:hAnsi="Arial" w:cs="Arial"/>
          <w:sz w:val="18"/>
        </w:rPr>
        <w:t>ETSI Secretariat.</w:t>
      </w:r>
    </w:p>
    <w:p w14:paraId="2433C7A1" w14:textId="77777777" w:rsidR="0016424C" w:rsidRPr="00F54712" w:rsidRDefault="0016424C" w:rsidP="0016424C">
      <w:pPr>
        <w:pStyle w:val="FP"/>
        <w:framePr w:h="6890" w:hRule="exact" w:wrap="notBeside" w:vAnchor="page" w:hAnchor="page" w:x="1036" w:y="8926"/>
        <w:spacing w:after="240"/>
        <w:jc w:val="center"/>
        <w:rPr>
          <w:rFonts w:ascii="Arial" w:hAnsi="Arial" w:cs="Arial"/>
          <w:sz w:val="18"/>
        </w:rPr>
      </w:pPr>
      <w:r w:rsidRPr="00F54712">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F54712">
          <w:rPr>
            <w:rStyle w:val="Hyperlink"/>
            <w:rFonts w:ascii="Arial" w:hAnsi="Arial" w:cs="Arial"/>
            <w:sz w:val="18"/>
          </w:rPr>
          <w:t>http://portal.etsi.org/tb/status/status.asp</w:t>
        </w:r>
      </w:hyperlink>
    </w:p>
    <w:p w14:paraId="717E3BE2" w14:textId="77777777" w:rsidR="0016424C" w:rsidRPr="00F54712" w:rsidRDefault="0016424C" w:rsidP="0016424C">
      <w:pPr>
        <w:pStyle w:val="FP"/>
        <w:framePr w:h="6890" w:hRule="exact" w:wrap="notBeside" w:vAnchor="page" w:hAnchor="page" w:x="1036" w:y="8926"/>
        <w:pBdr>
          <w:bottom w:val="single" w:sz="6" w:space="1" w:color="auto"/>
        </w:pBdr>
        <w:spacing w:after="240"/>
        <w:jc w:val="center"/>
        <w:rPr>
          <w:rFonts w:ascii="Arial" w:hAnsi="Arial" w:cs="Arial"/>
          <w:sz w:val="18"/>
        </w:rPr>
      </w:pPr>
      <w:r w:rsidRPr="00F54712">
        <w:rPr>
          <w:rFonts w:ascii="Arial" w:hAnsi="Arial" w:cs="Arial"/>
          <w:sz w:val="18"/>
        </w:rPr>
        <w:t>If you find errors in the present document, please send your comment to one of the following services:</w:t>
      </w:r>
      <w:r w:rsidRPr="00F54712">
        <w:rPr>
          <w:rFonts w:ascii="Arial" w:hAnsi="Arial" w:cs="Arial"/>
          <w:sz w:val="18"/>
        </w:rPr>
        <w:br/>
      </w:r>
      <w:bookmarkStart w:id="10" w:name="mailto"/>
      <w:r w:rsidRPr="00F54712">
        <w:rPr>
          <w:rFonts w:ascii="Arial" w:hAnsi="Arial" w:cs="Arial"/>
          <w:sz w:val="18"/>
          <w:szCs w:val="18"/>
        </w:rPr>
        <w:fldChar w:fldCharType="begin"/>
      </w:r>
      <w:r w:rsidRPr="00F54712">
        <w:rPr>
          <w:rFonts w:ascii="Arial" w:hAnsi="Arial" w:cs="Arial"/>
          <w:sz w:val="18"/>
          <w:szCs w:val="18"/>
        </w:rPr>
        <w:instrText>HYPERLINK "http://portal.etsi.org/chaircor/ETSI_support.asp"</w:instrText>
      </w:r>
      <w:r w:rsidRPr="00F54712">
        <w:rPr>
          <w:rFonts w:ascii="Arial" w:hAnsi="Arial" w:cs="Arial"/>
          <w:sz w:val="18"/>
          <w:szCs w:val="18"/>
        </w:rPr>
        <w:fldChar w:fldCharType="separate"/>
      </w:r>
      <w:r w:rsidRPr="00F54712">
        <w:rPr>
          <w:rFonts w:ascii="Arial" w:hAnsi="Arial" w:cs="Arial"/>
          <w:color w:val="0000FF"/>
          <w:sz w:val="18"/>
          <w:szCs w:val="18"/>
          <w:u w:val="single"/>
        </w:rPr>
        <w:t>http://portal.etsi.org/chaircor/ETSI_support.asp</w:t>
      </w:r>
      <w:r w:rsidRPr="00F54712">
        <w:rPr>
          <w:rFonts w:ascii="Arial" w:hAnsi="Arial" w:cs="Arial"/>
          <w:sz w:val="18"/>
          <w:szCs w:val="18"/>
        </w:rPr>
        <w:fldChar w:fldCharType="end"/>
      </w:r>
      <w:bookmarkEnd w:id="10"/>
    </w:p>
    <w:p w14:paraId="12CC497C" w14:textId="77777777" w:rsidR="0016424C" w:rsidRPr="00F54712" w:rsidRDefault="0016424C" w:rsidP="0016424C">
      <w:pPr>
        <w:pStyle w:val="FP"/>
        <w:framePr w:h="6890" w:hRule="exact" w:wrap="notBeside" w:vAnchor="page" w:hAnchor="page" w:x="1036" w:y="8926"/>
        <w:pBdr>
          <w:bottom w:val="single" w:sz="6" w:space="1" w:color="auto"/>
        </w:pBdr>
        <w:spacing w:after="240"/>
        <w:jc w:val="center"/>
        <w:rPr>
          <w:rFonts w:ascii="Arial" w:hAnsi="Arial"/>
          <w:b/>
          <w:i/>
        </w:rPr>
      </w:pPr>
      <w:r w:rsidRPr="00F54712">
        <w:rPr>
          <w:rFonts w:ascii="Arial" w:hAnsi="Arial"/>
          <w:b/>
          <w:i/>
        </w:rPr>
        <w:t>Copyright Notification</w:t>
      </w:r>
    </w:p>
    <w:p w14:paraId="422BE19B" w14:textId="77777777" w:rsidR="0016424C" w:rsidRPr="00F54712" w:rsidRDefault="0016424C" w:rsidP="0016424C">
      <w:pPr>
        <w:pStyle w:val="FP"/>
        <w:framePr w:h="6890" w:hRule="exact" w:wrap="notBeside" w:vAnchor="page" w:hAnchor="page" w:x="1036" w:y="8926"/>
        <w:jc w:val="center"/>
        <w:rPr>
          <w:rFonts w:ascii="Arial" w:hAnsi="Arial" w:cs="Arial"/>
          <w:sz w:val="18"/>
        </w:rPr>
      </w:pPr>
      <w:r w:rsidRPr="00F54712">
        <w:rPr>
          <w:rFonts w:ascii="Arial" w:hAnsi="Arial" w:cs="Arial"/>
          <w:sz w:val="18"/>
        </w:rPr>
        <w:t>No part may be reproduced or utilized in any form or by any means, electronic or mechanical, including photocopying and microfilm except as authorized by written permission of ETSI.</w:t>
      </w:r>
    </w:p>
    <w:p w14:paraId="287ABCB2" w14:textId="77777777" w:rsidR="0016424C" w:rsidRPr="00F54712" w:rsidRDefault="0016424C" w:rsidP="0016424C">
      <w:pPr>
        <w:pStyle w:val="FP"/>
        <w:framePr w:h="6890" w:hRule="exact" w:wrap="notBeside" w:vAnchor="page" w:hAnchor="page" w:x="1036" w:y="8926"/>
        <w:jc w:val="center"/>
        <w:rPr>
          <w:rFonts w:ascii="Arial" w:hAnsi="Arial" w:cs="Arial"/>
          <w:sz w:val="18"/>
        </w:rPr>
      </w:pPr>
      <w:r w:rsidRPr="00F54712">
        <w:rPr>
          <w:rFonts w:ascii="Arial" w:hAnsi="Arial" w:cs="Arial"/>
          <w:sz w:val="18"/>
        </w:rPr>
        <w:t>The content of the PDF version shall not be modified without the written authorization of ETSI.</w:t>
      </w:r>
    </w:p>
    <w:p w14:paraId="07A5B3C9" w14:textId="77777777" w:rsidR="0016424C" w:rsidRPr="00F54712" w:rsidRDefault="0016424C" w:rsidP="0016424C">
      <w:pPr>
        <w:pStyle w:val="FP"/>
        <w:framePr w:h="6890" w:hRule="exact" w:wrap="notBeside" w:vAnchor="page" w:hAnchor="page" w:x="1036" w:y="8926"/>
        <w:jc w:val="center"/>
        <w:rPr>
          <w:rFonts w:ascii="Arial" w:hAnsi="Arial" w:cs="Arial"/>
          <w:sz w:val="18"/>
        </w:rPr>
      </w:pPr>
      <w:r w:rsidRPr="00F54712">
        <w:rPr>
          <w:rFonts w:ascii="Arial" w:hAnsi="Arial" w:cs="Arial"/>
          <w:sz w:val="18"/>
        </w:rPr>
        <w:t>The copyright and the foregoing restriction extend to reproduction in all media.</w:t>
      </w:r>
    </w:p>
    <w:p w14:paraId="7AEEE58E" w14:textId="77777777" w:rsidR="0016424C" w:rsidRPr="00F54712" w:rsidRDefault="0016424C" w:rsidP="0016424C">
      <w:pPr>
        <w:pStyle w:val="FP"/>
        <w:framePr w:h="6890" w:hRule="exact" w:wrap="notBeside" w:vAnchor="page" w:hAnchor="page" w:x="1036" w:y="8926"/>
        <w:jc w:val="center"/>
        <w:rPr>
          <w:rFonts w:ascii="Arial" w:hAnsi="Arial" w:cs="Arial"/>
          <w:sz w:val="18"/>
        </w:rPr>
      </w:pPr>
    </w:p>
    <w:p w14:paraId="39E979FD" w14:textId="77777777" w:rsidR="00BC33F7" w:rsidRPr="00F54712" w:rsidRDefault="00BC33F7" w:rsidP="00BC33F7">
      <w:pPr>
        <w:pStyle w:val="FP"/>
        <w:framePr w:h="6890" w:hRule="exact" w:wrap="notBeside" w:vAnchor="page" w:hAnchor="page" w:x="1036" w:y="8926"/>
        <w:jc w:val="center"/>
        <w:rPr>
          <w:rFonts w:ascii="Arial" w:hAnsi="Arial" w:cs="Arial"/>
          <w:sz w:val="18"/>
        </w:rPr>
      </w:pPr>
      <w:r w:rsidRPr="00F54712">
        <w:rPr>
          <w:rFonts w:ascii="Arial" w:hAnsi="Arial" w:cs="Arial"/>
          <w:sz w:val="18"/>
        </w:rPr>
        <w:t xml:space="preserve">© European Telecommunications Standards Institute </w:t>
      </w:r>
      <w:r w:rsidR="00E9060F">
        <w:rPr>
          <w:rFonts w:ascii="Arial" w:hAnsi="Arial" w:cs="Arial"/>
          <w:sz w:val="18"/>
        </w:rPr>
        <w:t>201</w:t>
      </w:r>
      <w:r w:rsidR="00FE628B">
        <w:rPr>
          <w:rFonts w:ascii="Arial" w:hAnsi="Arial" w:cs="Arial"/>
          <w:sz w:val="18"/>
        </w:rPr>
        <w:t>6</w:t>
      </w:r>
      <w:r w:rsidRPr="00F54712">
        <w:rPr>
          <w:rFonts w:ascii="Arial" w:hAnsi="Arial" w:cs="Arial"/>
          <w:sz w:val="18"/>
        </w:rPr>
        <w:t>.</w:t>
      </w:r>
      <w:bookmarkStart w:id="11" w:name="copyrightaddon"/>
      <w:bookmarkEnd w:id="11"/>
    </w:p>
    <w:p w14:paraId="4CF9AD0F" w14:textId="77777777" w:rsidR="00BC33F7" w:rsidRPr="00F54712" w:rsidRDefault="00BC33F7" w:rsidP="00BC33F7">
      <w:pPr>
        <w:pStyle w:val="FP"/>
        <w:framePr w:h="6890" w:hRule="exact" w:wrap="notBeside" w:vAnchor="page" w:hAnchor="page" w:x="1036" w:y="8926"/>
        <w:jc w:val="center"/>
        <w:rPr>
          <w:rFonts w:ascii="Arial" w:hAnsi="Arial" w:cs="Arial"/>
          <w:sz w:val="18"/>
        </w:rPr>
      </w:pPr>
      <w:bookmarkStart w:id="12" w:name="tbcopyright"/>
      <w:bookmarkEnd w:id="12"/>
      <w:r w:rsidRPr="00F54712">
        <w:rPr>
          <w:rFonts w:ascii="Arial" w:hAnsi="Arial" w:cs="Arial"/>
          <w:sz w:val="18"/>
        </w:rPr>
        <w:t>All rights reserved.</w:t>
      </w:r>
      <w:r w:rsidRPr="00F54712">
        <w:rPr>
          <w:rFonts w:ascii="Arial" w:hAnsi="Arial" w:cs="Arial"/>
          <w:sz w:val="18"/>
        </w:rPr>
        <w:br/>
      </w:r>
    </w:p>
    <w:p w14:paraId="21710399" w14:textId="77777777" w:rsidR="00BC33F7" w:rsidRPr="00F54712" w:rsidRDefault="00BC33F7" w:rsidP="00BC33F7">
      <w:pPr>
        <w:framePr w:h="6890" w:hRule="exact" w:wrap="notBeside" w:vAnchor="page" w:hAnchor="page" w:x="1036" w:y="8926"/>
        <w:jc w:val="center"/>
        <w:rPr>
          <w:rFonts w:ascii="Arial" w:hAnsi="Arial" w:cs="Arial"/>
          <w:sz w:val="18"/>
          <w:szCs w:val="18"/>
        </w:rPr>
      </w:pPr>
      <w:r w:rsidRPr="00F54712">
        <w:rPr>
          <w:rFonts w:ascii="Arial" w:hAnsi="Arial" w:cs="Arial"/>
          <w:b/>
          <w:bCs/>
          <w:sz w:val="18"/>
          <w:szCs w:val="18"/>
        </w:rPr>
        <w:t>DECT</w:t>
      </w:r>
      <w:r w:rsidRPr="00F54712">
        <w:rPr>
          <w:rFonts w:ascii="Arial" w:hAnsi="Arial" w:cs="Arial"/>
          <w:sz w:val="18"/>
          <w:szCs w:val="18"/>
          <w:vertAlign w:val="superscript"/>
        </w:rPr>
        <w:t>TM</w:t>
      </w:r>
      <w:r w:rsidRPr="00F54712">
        <w:rPr>
          <w:rFonts w:ascii="Arial" w:hAnsi="Arial" w:cs="Arial"/>
          <w:sz w:val="18"/>
          <w:szCs w:val="18"/>
        </w:rPr>
        <w:t xml:space="preserve">, </w:t>
      </w:r>
      <w:r w:rsidRPr="00F54712">
        <w:rPr>
          <w:rFonts w:ascii="Arial" w:hAnsi="Arial" w:cs="Arial"/>
          <w:b/>
          <w:bCs/>
          <w:sz w:val="18"/>
          <w:szCs w:val="18"/>
        </w:rPr>
        <w:t>PLUGTESTS</w:t>
      </w:r>
      <w:r w:rsidRPr="00F54712">
        <w:rPr>
          <w:rFonts w:ascii="Arial" w:hAnsi="Arial" w:cs="Arial"/>
          <w:sz w:val="18"/>
          <w:szCs w:val="18"/>
          <w:vertAlign w:val="superscript"/>
        </w:rPr>
        <w:t>TM</w:t>
      </w:r>
      <w:r w:rsidRPr="00F54712">
        <w:rPr>
          <w:rFonts w:ascii="Arial" w:hAnsi="Arial" w:cs="Arial"/>
          <w:sz w:val="18"/>
          <w:szCs w:val="18"/>
        </w:rPr>
        <w:t xml:space="preserve">, </w:t>
      </w:r>
      <w:r w:rsidRPr="00F54712">
        <w:rPr>
          <w:rFonts w:ascii="Arial" w:hAnsi="Arial" w:cs="Arial"/>
          <w:b/>
          <w:bCs/>
          <w:sz w:val="18"/>
          <w:szCs w:val="18"/>
        </w:rPr>
        <w:t>UMTS</w:t>
      </w:r>
      <w:r w:rsidRPr="00F54712">
        <w:rPr>
          <w:rFonts w:ascii="Arial" w:hAnsi="Arial" w:cs="Arial"/>
          <w:sz w:val="18"/>
          <w:szCs w:val="18"/>
          <w:vertAlign w:val="superscript"/>
        </w:rPr>
        <w:t>TM</w:t>
      </w:r>
      <w:r w:rsidRPr="00F54712">
        <w:rPr>
          <w:rFonts w:ascii="Arial" w:hAnsi="Arial" w:cs="Arial"/>
          <w:sz w:val="18"/>
          <w:szCs w:val="18"/>
        </w:rPr>
        <w:t xml:space="preserve"> and the ETSI logo are Trade Marks of ETSI registered for the benefit of its Members.</w:t>
      </w:r>
      <w:r w:rsidRPr="00F54712">
        <w:rPr>
          <w:rFonts w:ascii="Arial" w:hAnsi="Arial" w:cs="Arial"/>
          <w:sz w:val="18"/>
          <w:szCs w:val="18"/>
        </w:rPr>
        <w:br/>
      </w:r>
      <w:r w:rsidRPr="00F54712">
        <w:rPr>
          <w:rFonts w:ascii="Arial" w:hAnsi="Arial" w:cs="Arial"/>
          <w:b/>
          <w:bCs/>
          <w:sz w:val="18"/>
          <w:szCs w:val="18"/>
        </w:rPr>
        <w:t>3GPP</w:t>
      </w:r>
      <w:r w:rsidRPr="00F54712">
        <w:rPr>
          <w:rFonts w:ascii="Arial" w:hAnsi="Arial" w:cs="Arial"/>
          <w:sz w:val="18"/>
          <w:szCs w:val="18"/>
          <w:vertAlign w:val="superscript"/>
        </w:rPr>
        <w:t xml:space="preserve">TM </w:t>
      </w:r>
      <w:r w:rsidRPr="00F54712">
        <w:rPr>
          <w:rFonts w:ascii="Arial" w:hAnsi="Arial" w:cs="Arial"/>
          <w:sz w:val="18"/>
          <w:szCs w:val="18"/>
        </w:rPr>
        <w:t xml:space="preserve">and </w:t>
      </w:r>
      <w:r w:rsidRPr="00F54712">
        <w:rPr>
          <w:rFonts w:ascii="Arial" w:hAnsi="Arial" w:cs="Arial"/>
          <w:b/>
          <w:bCs/>
          <w:sz w:val="18"/>
          <w:szCs w:val="18"/>
        </w:rPr>
        <w:t>LTE</w:t>
      </w:r>
      <w:r w:rsidRPr="00F54712">
        <w:rPr>
          <w:rFonts w:ascii="Arial" w:hAnsi="Arial" w:cs="Arial"/>
          <w:sz w:val="18"/>
          <w:szCs w:val="18"/>
        </w:rPr>
        <w:t>™ are Trade Marks of ETSI registered for the benefit of its Members and</w:t>
      </w:r>
      <w:r w:rsidRPr="00F54712">
        <w:rPr>
          <w:rFonts w:ascii="Arial" w:hAnsi="Arial" w:cs="Arial"/>
          <w:sz w:val="18"/>
          <w:szCs w:val="18"/>
        </w:rPr>
        <w:br/>
        <w:t>of the 3GPP Organizational Partners.</w:t>
      </w:r>
      <w:r w:rsidRPr="00F54712">
        <w:rPr>
          <w:rFonts w:ascii="Arial" w:hAnsi="Arial" w:cs="Arial"/>
          <w:sz w:val="18"/>
          <w:szCs w:val="18"/>
        </w:rPr>
        <w:br/>
      </w:r>
      <w:r w:rsidRPr="00F54712">
        <w:rPr>
          <w:rFonts w:ascii="Arial" w:hAnsi="Arial" w:cs="Arial"/>
          <w:b/>
          <w:bCs/>
          <w:sz w:val="18"/>
          <w:szCs w:val="18"/>
        </w:rPr>
        <w:t>GSM</w:t>
      </w:r>
      <w:r w:rsidRPr="00F54712">
        <w:rPr>
          <w:rFonts w:ascii="Arial" w:hAnsi="Arial" w:cs="Arial"/>
          <w:sz w:val="18"/>
          <w:szCs w:val="18"/>
        </w:rPr>
        <w:t>® and the GSM logo are Trade Marks registered and owned by the GSM Association.</w:t>
      </w:r>
    </w:p>
    <w:p w14:paraId="07A3D4AF" w14:textId="77777777" w:rsidR="00414E11" w:rsidRPr="00F54712" w:rsidRDefault="00787554" w:rsidP="00E9060F">
      <w:pPr>
        <w:pStyle w:val="Heading1"/>
        <w:rPr>
          <w:rFonts w:cs="Arial"/>
          <w:i/>
          <w:iCs/>
          <w:color w:val="76923C"/>
          <w:sz w:val="18"/>
          <w:szCs w:val="18"/>
        </w:rPr>
      </w:pPr>
      <w:r w:rsidRPr="00F54712">
        <w:rPr>
          <w:rStyle w:val="Guidance"/>
          <w:szCs w:val="36"/>
        </w:rPr>
        <w:br w:type="page"/>
      </w:r>
      <w:bookmarkStart w:id="13" w:name="_Toc441768630"/>
      <w:bookmarkStart w:id="14" w:name="_Toc451530765"/>
      <w:r w:rsidR="00BB6418" w:rsidRPr="00F54712">
        <w:lastRenderedPageBreak/>
        <w:t>Contents</w:t>
      </w:r>
      <w:bookmarkEnd w:id="13"/>
      <w:bookmarkEnd w:id="14"/>
      <w:r w:rsidR="00414E11" w:rsidRPr="00F54712">
        <w:t xml:space="preserve"> </w:t>
      </w:r>
    </w:p>
    <w:p w14:paraId="35DF4B4C" w14:textId="77777777" w:rsidR="00E45DFF" w:rsidRDefault="00455BFC">
      <w:pPr>
        <w:pStyle w:val="TOC1"/>
        <w:rPr>
          <w:rFonts w:asciiTheme="minorHAnsi" w:eastAsiaTheme="minorEastAsia" w:hAnsiTheme="minorHAnsi" w:cstheme="minorBidi"/>
          <w:szCs w:val="22"/>
          <w:lang w:eastAsia="en-GB"/>
        </w:rPr>
      </w:pPr>
      <w:r w:rsidRPr="003C187C">
        <w:fldChar w:fldCharType="begin"/>
      </w:r>
      <w:r w:rsidRPr="003C187C">
        <w:instrText xml:space="preserve"> TOC \o \w "1-9" </w:instrText>
      </w:r>
      <w:r w:rsidRPr="003C187C">
        <w:fldChar w:fldCharType="separate"/>
      </w:r>
      <w:r w:rsidR="00E45DFF">
        <w:t>Contents</w:t>
      </w:r>
      <w:r w:rsidR="00E45DFF">
        <w:tab/>
      </w:r>
      <w:r w:rsidR="00E45DFF">
        <w:fldChar w:fldCharType="begin"/>
      </w:r>
      <w:r w:rsidR="00E45DFF">
        <w:instrText xml:space="preserve"> PAGEREF _Toc451530765 \h </w:instrText>
      </w:r>
      <w:r w:rsidR="00E45DFF">
        <w:fldChar w:fldCharType="separate"/>
      </w:r>
      <w:r w:rsidR="00E45DFF">
        <w:t>3</w:t>
      </w:r>
      <w:r w:rsidR="00E45DFF">
        <w:fldChar w:fldCharType="end"/>
      </w:r>
    </w:p>
    <w:p w14:paraId="52587854" w14:textId="77777777" w:rsidR="00E45DFF" w:rsidRDefault="00E45DFF">
      <w:pPr>
        <w:pStyle w:val="TOC1"/>
        <w:rPr>
          <w:rFonts w:asciiTheme="minorHAnsi" w:eastAsiaTheme="minorEastAsia" w:hAnsiTheme="minorHAnsi" w:cstheme="minorBidi"/>
          <w:szCs w:val="22"/>
          <w:lang w:eastAsia="en-GB"/>
        </w:rPr>
      </w:pPr>
      <w:r>
        <w:t>Intellectual Property Rights</w:t>
      </w:r>
      <w:r>
        <w:tab/>
      </w:r>
      <w:r>
        <w:fldChar w:fldCharType="begin"/>
      </w:r>
      <w:r>
        <w:instrText xml:space="preserve"> PAGEREF _Toc451530766 \h </w:instrText>
      </w:r>
      <w:r>
        <w:fldChar w:fldCharType="separate"/>
      </w:r>
      <w:r>
        <w:t>4</w:t>
      </w:r>
      <w:r>
        <w:fldChar w:fldCharType="end"/>
      </w:r>
    </w:p>
    <w:p w14:paraId="270D0090" w14:textId="77777777" w:rsidR="00E45DFF" w:rsidRDefault="00E45DFF">
      <w:pPr>
        <w:pStyle w:val="TOC1"/>
        <w:rPr>
          <w:rFonts w:asciiTheme="minorHAnsi" w:eastAsiaTheme="minorEastAsia" w:hAnsiTheme="minorHAnsi" w:cstheme="minorBidi"/>
          <w:szCs w:val="22"/>
          <w:lang w:eastAsia="en-GB"/>
        </w:rPr>
      </w:pPr>
      <w:r>
        <w:t>Foreword</w:t>
      </w:r>
      <w:r>
        <w:tab/>
      </w:r>
      <w:r>
        <w:fldChar w:fldCharType="begin"/>
      </w:r>
      <w:r>
        <w:instrText xml:space="preserve"> PAGEREF _Toc451530767 \h </w:instrText>
      </w:r>
      <w:r>
        <w:fldChar w:fldCharType="separate"/>
      </w:r>
      <w:r>
        <w:t>4</w:t>
      </w:r>
      <w:r>
        <w:fldChar w:fldCharType="end"/>
      </w:r>
    </w:p>
    <w:p w14:paraId="38DB6A2E" w14:textId="77777777" w:rsidR="00E45DFF" w:rsidRDefault="00E45DFF">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_Toc451530768 \h </w:instrText>
      </w:r>
      <w:r>
        <w:fldChar w:fldCharType="separate"/>
      </w:r>
      <w:r>
        <w:t>4</w:t>
      </w:r>
      <w:r>
        <w:fldChar w:fldCharType="end"/>
      </w:r>
    </w:p>
    <w:p w14:paraId="548546B1" w14:textId="77777777" w:rsidR="00E45DFF" w:rsidRDefault="00E45DFF">
      <w:pPr>
        <w:pStyle w:val="TOC1"/>
        <w:rPr>
          <w:rFonts w:asciiTheme="minorHAnsi" w:eastAsiaTheme="minorEastAsia" w:hAnsiTheme="minorHAnsi" w:cstheme="minorBidi"/>
          <w:szCs w:val="22"/>
          <w:lang w:eastAsia="en-GB"/>
        </w:rPr>
      </w:pPr>
      <w:r>
        <w:t>Executive summary</w:t>
      </w:r>
      <w:r>
        <w:tab/>
      </w:r>
      <w:r>
        <w:fldChar w:fldCharType="begin"/>
      </w:r>
      <w:r>
        <w:instrText xml:space="preserve"> PAGEREF _Toc451530769 \h </w:instrText>
      </w:r>
      <w:r>
        <w:fldChar w:fldCharType="separate"/>
      </w:r>
      <w:r>
        <w:t>4</w:t>
      </w:r>
      <w:r>
        <w:fldChar w:fldCharType="end"/>
      </w:r>
    </w:p>
    <w:p w14:paraId="17F5E84B" w14:textId="77777777" w:rsidR="00E45DFF" w:rsidRDefault="00E45DFF">
      <w:pPr>
        <w:pStyle w:val="TOC1"/>
        <w:rPr>
          <w:rFonts w:asciiTheme="minorHAnsi" w:eastAsiaTheme="minorEastAsia" w:hAnsiTheme="minorHAnsi" w:cstheme="minorBidi"/>
          <w:szCs w:val="22"/>
          <w:lang w:eastAsia="en-GB"/>
        </w:rPr>
      </w:pPr>
      <w:r>
        <w:t>Introduction</w:t>
      </w:r>
      <w:r>
        <w:tab/>
      </w:r>
      <w:r>
        <w:fldChar w:fldCharType="begin"/>
      </w:r>
      <w:r>
        <w:instrText xml:space="preserve"> PAGEREF _Toc451530770 \h </w:instrText>
      </w:r>
      <w:r>
        <w:fldChar w:fldCharType="separate"/>
      </w:r>
      <w:r>
        <w:t>4</w:t>
      </w:r>
      <w:r>
        <w:fldChar w:fldCharType="end"/>
      </w:r>
    </w:p>
    <w:p w14:paraId="4FDD3F9D" w14:textId="77777777" w:rsidR="00E45DFF" w:rsidRDefault="00E45DFF">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_Toc451530771 \h </w:instrText>
      </w:r>
      <w:r>
        <w:fldChar w:fldCharType="separate"/>
      </w:r>
      <w:r>
        <w:t>6</w:t>
      </w:r>
      <w:r>
        <w:fldChar w:fldCharType="end"/>
      </w:r>
    </w:p>
    <w:p w14:paraId="75DE56FA" w14:textId="77777777" w:rsidR="00E45DFF" w:rsidRDefault="00E45DFF">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_Toc451530772 \h </w:instrText>
      </w:r>
      <w:r>
        <w:fldChar w:fldCharType="separate"/>
      </w:r>
      <w:r>
        <w:t>6</w:t>
      </w:r>
      <w:r>
        <w:fldChar w:fldCharType="end"/>
      </w:r>
    </w:p>
    <w:p w14:paraId="6DBBB911" w14:textId="77777777" w:rsidR="00E45DFF" w:rsidRDefault="00E45DFF">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_Toc451530773 \h </w:instrText>
      </w:r>
      <w:r>
        <w:fldChar w:fldCharType="separate"/>
      </w:r>
      <w:r>
        <w:t>6</w:t>
      </w:r>
      <w:r>
        <w:fldChar w:fldCharType="end"/>
      </w:r>
    </w:p>
    <w:p w14:paraId="55B7B1F1" w14:textId="77777777" w:rsidR="00E45DFF" w:rsidRDefault="00E45DFF">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_Toc451530774 \h </w:instrText>
      </w:r>
      <w:r>
        <w:fldChar w:fldCharType="separate"/>
      </w:r>
      <w:r>
        <w:t>6</w:t>
      </w:r>
      <w:r>
        <w:fldChar w:fldCharType="end"/>
      </w:r>
    </w:p>
    <w:p w14:paraId="033252A1" w14:textId="77777777" w:rsidR="00E45DFF" w:rsidRDefault="00E45DFF">
      <w:pPr>
        <w:pStyle w:val="TOC1"/>
        <w:rPr>
          <w:rFonts w:asciiTheme="minorHAnsi" w:eastAsiaTheme="minorEastAsia" w:hAnsiTheme="minorHAnsi" w:cstheme="minorBidi"/>
          <w:szCs w:val="22"/>
          <w:lang w:eastAsia="en-GB"/>
        </w:rPr>
      </w:pPr>
      <w:r>
        <w:t>3</w:t>
      </w:r>
      <w:r>
        <w:tab/>
        <w:t>Definitions, symbols and abbreviations</w:t>
      </w:r>
      <w:r>
        <w:tab/>
      </w:r>
      <w:r>
        <w:fldChar w:fldCharType="begin"/>
      </w:r>
      <w:r>
        <w:instrText xml:space="preserve"> PAGEREF _Toc451530775 \h </w:instrText>
      </w:r>
      <w:r>
        <w:fldChar w:fldCharType="separate"/>
      </w:r>
      <w:r>
        <w:t>7</w:t>
      </w:r>
      <w:r>
        <w:fldChar w:fldCharType="end"/>
      </w:r>
    </w:p>
    <w:p w14:paraId="3C98A96E" w14:textId="77777777" w:rsidR="00E45DFF" w:rsidRDefault="00E45DFF">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_Toc451530776 \h </w:instrText>
      </w:r>
      <w:r>
        <w:fldChar w:fldCharType="separate"/>
      </w:r>
      <w:r>
        <w:t>7</w:t>
      </w:r>
      <w:r>
        <w:fldChar w:fldCharType="end"/>
      </w:r>
    </w:p>
    <w:p w14:paraId="47A8AA9E" w14:textId="77777777" w:rsidR="00E45DFF" w:rsidRDefault="00E45DFF">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_Toc451530777 \h </w:instrText>
      </w:r>
      <w:r>
        <w:fldChar w:fldCharType="separate"/>
      </w:r>
      <w:r>
        <w:t>7</w:t>
      </w:r>
      <w:r>
        <w:fldChar w:fldCharType="end"/>
      </w:r>
    </w:p>
    <w:p w14:paraId="2CA64F15" w14:textId="77777777" w:rsidR="00E45DFF" w:rsidRDefault="00E45DFF">
      <w:pPr>
        <w:pStyle w:val="TOC1"/>
        <w:rPr>
          <w:rFonts w:asciiTheme="minorHAnsi" w:eastAsiaTheme="minorEastAsia" w:hAnsiTheme="minorHAnsi" w:cstheme="minorBidi"/>
          <w:szCs w:val="22"/>
          <w:lang w:eastAsia="en-GB"/>
        </w:rPr>
      </w:pPr>
      <w:r>
        <w:t>4</w:t>
      </w:r>
      <w:r>
        <w:tab/>
        <w:t>Means for exchanging structured cyber threat intelligence</w:t>
      </w:r>
      <w:r>
        <w:tab/>
      </w:r>
      <w:r>
        <w:fldChar w:fldCharType="begin"/>
      </w:r>
      <w:r>
        <w:instrText xml:space="preserve"> PAGEREF _Toc451530778 \h </w:instrText>
      </w:r>
      <w:r>
        <w:fldChar w:fldCharType="separate"/>
      </w:r>
      <w:r>
        <w:t>9</w:t>
      </w:r>
      <w:r>
        <w:fldChar w:fldCharType="end"/>
      </w:r>
    </w:p>
    <w:p w14:paraId="0334B0C0" w14:textId="77777777" w:rsidR="00E45DFF" w:rsidRDefault="00E45DFF">
      <w:pPr>
        <w:pStyle w:val="TOC2"/>
        <w:rPr>
          <w:rFonts w:asciiTheme="minorHAnsi" w:eastAsiaTheme="minorEastAsia" w:hAnsiTheme="minorHAnsi" w:cstheme="minorBidi"/>
          <w:sz w:val="22"/>
          <w:szCs w:val="22"/>
          <w:lang w:eastAsia="en-GB"/>
        </w:rPr>
      </w:pPr>
      <w:r>
        <w:t>4.1</w:t>
      </w:r>
      <w:r>
        <w:tab/>
        <w:t>Introduction</w:t>
      </w:r>
      <w:r>
        <w:tab/>
      </w:r>
      <w:r>
        <w:fldChar w:fldCharType="begin"/>
      </w:r>
      <w:r>
        <w:instrText xml:space="preserve"> PAGEREF _Toc451530779 \h </w:instrText>
      </w:r>
      <w:r>
        <w:fldChar w:fldCharType="separate"/>
      </w:r>
      <w:r>
        <w:t>9</w:t>
      </w:r>
      <w:r>
        <w:fldChar w:fldCharType="end"/>
      </w:r>
    </w:p>
    <w:p w14:paraId="176D5A3E" w14:textId="77777777" w:rsidR="00E45DFF" w:rsidRDefault="00E45DFF">
      <w:pPr>
        <w:pStyle w:val="TOC2"/>
        <w:rPr>
          <w:rFonts w:asciiTheme="minorHAnsi" w:eastAsiaTheme="minorEastAsia" w:hAnsiTheme="minorHAnsi" w:cstheme="minorBidi"/>
          <w:sz w:val="22"/>
          <w:szCs w:val="22"/>
          <w:lang w:eastAsia="en-GB"/>
        </w:rPr>
      </w:pPr>
      <w:r>
        <w:t>4.2</w:t>
      </w:r>
      <w:r>
        <w:tab/>
        <w:t>OASIS Cyber Threat Intelligence Technical Committee  (TC CTI)</w:t>
      </w:r>
      <w:r>
        <w:tab/>
      </w:r>
      <w:r>
        <w:fldChar w:fldCharType="begin"/>
      </w:r>
      <w:r>
        <w:instrText xml:space="preserve"> PAGEREF _Toc451530780 \h </w:instrText>
      </w:r>
      <w:r>
        <w:fldChar w:fldCharType="separate"/>
      </w:r>
      <w:r>
        <w:t>9</w:t>
      </w:r>
      <w:r>
        <w:fldChar w:fldCharType="end"/>
      </w:r>
    </w:p>
    <w:p w14:paraId="592BC19C" w14:textId="77777777" w:rsidR="00E45DFF" w:rsidRDefault="00E45DFF">
      <w:pPr>
        <w:pStyle w:val="TOC3"/>
        <w:rPr>
          <w:rFonts w:asciiTheme="minorHAnsi" w:eastAsiaTheme="minorEastAsia" w:hAnsiTheme="minorHAnsi" w:cstheme="minorBidi"/>
          <w:sz w:val="22"/>
          <w:szCs w:val="22"/>
          <w:lang w:eastAsia="en-GB"/>
        </w:rPr>
      </w:pPr>
      <w:r>
        <w:t>4.2.1</w:t>
      </w:r>
      <w:r>
        <w:tab/>
        <w:t>Introduction</w:t>
      </w:r>
      <w:r>
        <w:tab/>
      </w:r>
      <w:r>
        <w:fldChar w:fldCharType="begin"/>
      </w:r>
      <w:r>
        <w:instrText xml:space="preserve"> PAGEREF _Toc451530781 \h </w:instrText>
      </w:r>
      <w:r>
        <w:fldChar w:fldCharType="separate"/>
      </w:r>
      <w:r>
        <w:t>9</w:t>
      </w:r>
      <w:r>
        <w:fldChar w:fldCharType="end"/>
      </w:r>
    </w:p>
    <w:p w14:paraId="7EAF5A48" w14:textId="77777777" w:rsidR="00E45DFF" w:rsidRDefault="00E45DFF">
      <w:pPr>
        <w:pStyle w:val="TOC3"/>
        <w:rPr>
          <w:rFonts w:asciiTheme="minorHAnsi" w:eastAsiaTheme="minorEastAsia" w:hAnsiTheme="minorHAnsi" w:cstheme="minorBidi"/>
          <w:sz w:val="22"/>
          <w:szCs w:val="22"/>
          <w:lang w:eastAsia="en-GB"/>
        </w:rPr>
      </w:pPr>
      <w:r>
        <w:t>4.2.2</w:t>
      </w:r>
      <w:r>
        <w:tab/>
        <w:t>CTI STIX Subcommittee</w:t>
      </w:r>
      <w:r>
        <w:tab/>
      </w:r>
      <w:r>
        <w:fldChar w:fldCharType="begin"/>
      </w:r>
      <w:r>
        <w:instrText xml:space="preserve"> PAGEREF _Toc451530782 \h </w:instrText>
      </w:r>
      <w:r>
        <w:fldChar w:fldCharType="separate"/>
      </w:r>
      <w:r>
        <w:t>10</w:t>
      </w:r>
      <w:r>
        <w:fldChar w:fldCharType="end"/>
      </w:r>
    </w:p>
    <w:p w14:paraId="2827697A" w14:textId="77777777" w:rsidR="00E45DFF" w:rsidRDefault="00E45DFF">
      <w:pPr>
        <w:pStyle w:val="TOC3"/>
        <w:rPr>
          <w:rFonts w:asciiTheme="minorHAnsi" w:eastAsiaTheme="minorEastAsia" w:hAnsiTheme="minorHAnsi" w:cstheme="minorBidi"/>
          <w:sz w:val="22"/>
          <w:szCs w:val="22"/>
          <w:lang w:eastAsia="en-GB"/>
        </w:rPr>
      </w:pPr>
      <w:r>
        <w:t>4.2.3</w:t>
      </w:r>
      <w:r>
        <w:tab/>
        <w:t>CTI TAXII Subcommittee</w:t>
      </w:r>
      <w:r>
        <w:tab/>
      </w:r>
      <w:r>
        <w:fldChar w:fldCharType="begin"/>
      </w:r>
      <w:r>
        <w:instrText xml:space="preserve"> PAGEREF _Toc451530783 \h </w:instrText>
      </w:r>
      <w:r>
        <w:fldChar w:fldCharType="separate"/>
      </w:r>
      <w:r>
        <w:t>11</w:t>
      </w:r>
      <w:r>
        <w:fldChar w:fldCharType="end"/>
      </w:r>
    </w:p>
    <w:p w14:paraId="0B0647C3" w14:textId="77777777" w:rsidR="00E45DFF" w:rsidRDefault="00E45DFF">
      <w:pPr>
        <w:pStyle w:val="TOC3"/>
        <w:rPr>
          <w:rFonts w:asciiTheme="minorHAnsi" w:eastAsiaTheme="minorEastAsia" w:hAnsiTheme="minorHAnsi" w:cstheme="minorBidi"/>
          <w:sz w:val="22"/>
          <w:szCs w:val="22"/>
          <w:lang w:eastAsia="en-GB"/>
        </w:rPr>
      </w:pPr>
      <w:r>
        <w:t>4.2.4</w:t>
      </w:r>
      <w:r>
        <w:tab/>
        <w:t>CTI CybOX Subcommittee</w:t>
      </w:r>
      <w:r>
        <w:tab/>
      </w:r>
      <w:r>
        <w:fldChar w:fldCharType="begin"/>
      </w:r>
      <w:r>
        <w:instrText xml:space="preserve"> PAGEREF _Toc451530784 \h </w:instrText>
      </w:r>
      <w:r>
        <w:fldChar w:fldCharType="separate"/>
      </w:r>
      <w:r>
        <w:t>12</w:t>
      </w:r>
      <w:r>
        <w:fldChar w:fldCharType="end"/>
      </w:r>
    </w:p>
    <w:p w14:paraId="0AFBC089" w14:textId="77777777" w:rsidR="00E45DFF" w:rsidRDefault="00E45DFF">
      <w:pPr>
        <w:pStyle w:val="TOC3"/>
        <w:rPr>
          <w:rFonts w:asciiTheme="minorHAnsi" w:eastAsiaTheme="minorEastAsia" w:hAnsiTheme="minorHAnsi" w:cstheme="minorBidi"/>
          <w:sz w:val="22"/>
          <w:szCs w:val="22"/>
          <w:lang w:eastAsia="en-GB"/>
        </w:rPr>
      </w:pPr>
      <w:r>
        <w:t>4.2.5</w:t>
      </w:r>
      <w:r>
        <w:tab/>
        <w:t>CTI Interoperability Subcommittee</w:t>
      </w:r>
      <w:r>
        <w:tab/>
      </w:r>
      <w:r>
        <w:fldChar w:fldCharType="begin"/>
      </w:r>
      <w:r>
        <w:instrText xml:space="preserve"> PAGEREF _Toc451530785 \h </w:instrText>
      </w:r>
      <w:r>
        <w:fldChar w:fldCharType="separate"/>
      </w:r>
      <w:r>
        <w:t>12</w:t>
      </w:r>
      <w:r>
        <w:fldChar w:fldCharType="end"/>
      </w:r>
    </w:p>
    <w:p w14:paraId="77160030" w14:textId="77777777" w:rsidR="00E45DFF" w:rsidRDefault="00E45DFF">
      <w:pPr>
        <w:pStyle w:val="TOC2"/>
        <w:rPr>
          <w:rFonts w:asciiTheme="minorHAnsi" w:eastAsiaTheme="minorEastAsia" w:hAnsiTheme="minorHAnsi" w:cstheme="minorBidi"/>
          <w:sz w:val="22"/>
          <w:szCs w:val="22"/>
          <w:lang w:eastAsia="en-GB"/>
        </w:rPr>
      </w:pPr>
      <w:r>
        <w:t>4.3</w:t>
      </w:r>
      <w:r>
        <w:tab/>
        <w:t>IETF Managed Incident Lightweight Exchange Working Group (mile)</w:t>
      </w:r>
      <w:r>
        <w:tab/>
      </w:r>
      <w:r>
        <w:fldChar w:fldCharType="begin"/>
      </w:r>
      <w:r>
        <w:instrText xml:space="preserve"> PAGEREF _Toc451530786 \h </w:instrText>
      </w:r>
      <w:r>
        <w:fldChar w:fldCharType="separate"/>
      </w:r>
      <w:r>
        <w:t>12</w:t>
      </w:r>
      <w:r>
        <w:fldChar w:fldCharType="end"/>
      </w:r>
    </w:p>
    <w:p w14:paraId="22122906" w14:textId="77777777" w:rsidR="00E45DFF" w:rsidRDefault="00E45DFF">
      <w:pPr>
        <w:pStyle w:val="TOC2"/>
        <w:rPr>
          <w:rFonts w:asciiTheme="minorHAnsi" w:eastAsiaTheme="minorEastAsia" w:hAnsiTheme="minorHAnsi" w:cstheme="minorBidi"/>
          <w:sz w:val="22"/>
          <w:szCs w:val="22"/>
          <w:lang w:eastAsia="en-GB"/>
        </w:rPr>
      </w:pPr>
      <w:r>
        <w:t>4.4</w:t>
      </w:r>
      <w:r>
        <w:tab/>
        <w:t>CSIRTGadgets Collective Intelligence Foundation (CIF)</w:t>
      </w:r>
      <w:r>
        <w:tab/>
      </w:r>
      <w:r>
        <w:fldChar w:fldCharType="begin"/>
      </w:r>
      <w:r>
        <w:instrText xml:space="preserve"> PAGEREF _Toc451530787 \h </w:instrText>
      </w:r>
      <w:r>
        <w:fldChar w:fldCharType="separate"/>
      </w:r>
      <w:r>
        <w:t>13</w:t>
      </w:r>
      <w:r>
        <w:fldChar w:fldCharType="end"/>
      </w:r>
    </w:p>
    <w:p w14:paraId="2DBCA120" w14:textId="77777777" w:rsidR="00E45DFF" w:rsidRDefault="00E45DFF">
      <w:pPr>
        <w:pStyle w:val="TOC2"/>
        <w:rPr>
          <w:rFonts w:asciiTheme="minorHAnsi" w:eastAsiaTheme="minorEastAsia" w:hAnsiTheme="minorHAnsi" w:cstheme="minorBidi"/>
          <w:sz w:val="22"/>
          <w:szCs w:val="22"/>
          <w:lang w:eastAsia="en-GB"/>
        </w:rPr>
      </w:pPr>
      <w:r>
        <w:t>4.5</w:t>
      </w:r>
      <w:r>
        <w:tab/>
        <w:t>EU Advanced Cyber Defence Centre (ACDC)</w:t>
      </w:r>
      <w:r>
        <w:tab/>
      </w:r>
      <w:r>
        <w:fldChar w:fldCharType="begin"/>
      </w:r>
      <w:r>
        <w:instrText xml:space="preserve"> PAGEREF _Toc451530788 \h </w:instrText>
      </w:r>
      <w:r>
        <w:fldChar w:fldCharType="separate"/>
      </w:r>
      <w:r>
        <w:t>13</w:t>
      </w:r>
      <w:r>
        <w:fldChar w:fldCharType="end"/>
      </w:r>
    </w:p>
    <w:p w14:paraId="387E0937" w14:textId="77777777" w:rsidR="00E45DFF" w:rsidRDefault="00E45DFF">
      <w:pPr>
        <w:pStyle w:val="TOC2"/>
        <w:rPr>
          <w:rFonts w:asciiTheme="minorHAnsi" w:eastAsiaTheme="minorEastAsia" w:hAnsiTheme="minorHAnsi" w:cstheme="minorBidi"/>
          <w:sz w:val="22"/>
          <w:szCs w:val="22"/>
          <w:lang w:eastAsia="en-GB"/>
        </w:rPr>
      </w:pPr>
      <w:r>
        <w:t>4.6</w:t>
      </w:r>
      <w:r>
        <w:tab/>
        <w:t>AbuseHelper</w:t>
      </w:r>
      <w:r>
        <w:tab/>
      </w:r>
      <w:r>
        <w:fldChar w:fldCharType="begin"/>
      </w:r>
      <w:r>
        <w:instrText xml:space="preserve"> PAGEREF _Toc451530789 \h </w:instrText>
      </w:r>
      <w:r>
        <w:fldChar w:fldCharType="separate"/>
      </w:r>
      <w:r>
        <w:t>14</w:t>
      </w:r>
      <w:r>
        <w:fldChar w:fldCharType="end"/>
      </w:r>
    </w:p>
    <w:p w14:paraId="56344C7C" w14:textId="77777777" w:rsidR="00E45DFF" w:rsidRDefault="00E45DFF">
      <w:pPr>
        <w:pStyle w:val="TOC2"/>
        <w:rPr>
          <w:rFonts w:asciiTheme="minorHAnsi" w:eastAsiaTheme="minorEastAsia" w:hAnsiTheme="minorHAnsi" w:cstheme="minorBidi"/>
          <w:sz w:val="22"/>
          <w:szCs w:val="22"/>
          <w:lang w:eastAsia="en-GB"/>
        </w:rPr>
      </w:pPr>
      <w:r>
        <w:t>4.7</w:t>
      </w:r>
      <w:r>
        <w:tab/>
        <w:t>OMG Threat Modelling Working Group</w:t>
      </w:r>
      <w:r>
        <w:tab/>
      </w:r>
      <w:r>
        <w:fldChar w:fldCharType="begin"/>
      </w:r>
      <w:r>
        <w:instrText xml:space="preserve"> PAGEREF _Toc451530790 \h </w:instrText>
      </w:r>
      <w:r>
        <w:fldChar w:fldCharType="separate"/>
      </w:r>
      <w:r>
        <w:t>14</w:t>
      </w:r>
      <w:r>
        <w:fldChar w:fldCharType="end"/>
      </w:r>
    </w:p>
    <w:p w14:paraId="2F671228" w14:textId="77777777" w:rsidR="00E45DFF" w:rsidRDefault="00E45DFF">
      <w:pPr>
        <w:pStyle w:val="TOC2"/>
        <w:rPr>
          <w:rFonts w:asciiTheme="minorHAnsi" w:eastAsiaTheme="minorEastAsia" w:hAnsiTheme="minorHAnsi" w:cstheme="minorBidi"/>
          <w:sz w:val="22"/>
          <w:szCs w:val="22"/>
          <w:lang w:eastAsia="en-GB"/>
        </w:rPr>
      </w:pPr>
      <w:r>
        <w:t>4.8</w:t>
      </w:r>
      <w:r>
        <w:tab/>
        <w:t>ITU-T SG17</w:t>
      </w:r>
      <w:r>
        <w:tab/>
      </w:r>
      <w:r>
        <w:fldChar w:fldCharType="begin"/>
      </w:r>
      <w:r>
        <w:instrText xml:space="preserve"> PAGEREF _Toc451530791 \h </w:instrText>
      </w:r>
      <w:r>
        <w:fldChar w:fldCharType="separate"/>
      </w:r>
      <w:r>
        <w:t>14</w:t>
      </w:r>
      <w:r>
        <w:fldChar w:fldCharType="end"/>
      </w:r>
    </w:p>
    <w:p w14:paraId="20304B98" w14:textId="77777777" w:rsidR="00E45DFF" w:rsidRDefault="00E45DFF">
      <w:pPr>
        <w:pStyle w:val="TOC2"/>
        <w:rPr>
          <w:rFonts w:asciiTheme="minorHAnsi" w:eastAsiaTheme="minorEastAsia" w:hAnsiTheme="minorHAnsi" w:cstheme="minorBidi"/>
          <w:sz w:val="22"/>
          <w:szCs w:val="22"/>
          <w:lang w:eastAsia="en-GB"/>
        </w:rPr>
      </w:pPr>
      <w:r>
        <w:t>4.9</w:t>
      </w:r>
      <w:r>
        <w:tab/>
        <w:t>Open Threat Exchange™ (OTX™)</w:t>
      </w:r>
      <w:r>
        <w:tab/>
      </w:r>
      <w:r>
        <w:fldChar w:fldCharType="begin"/>
      </w:r>
      <w:r>
        <w:instrText xml:space="preserve"> PAGEREF _Toc451530792 \h </w:instrText>
      </w:r>
      <w:r>
        <w:fldChar w:fldCharType="separate"/>
      </w:r>
      <w:r>
        <w:t>15</w:t>
      </w:r>
      <w:r>
        <w:fldChar w:fldCharType="end"/>
      </w:r>
    </w:p>
    <w:p w14:paraId="77D0CF7F" w14:textId="77777777" w:rsidR="00E45DFF" w:rsidRDefault="00E45DFF">
      <w:pPr>
        <w:pStyle w:val="TOC2"/>
        <w:rPr>
          <w:rFonts w:asciiTheme="minorHAnsi" w:eastAsiaTheme="minorEastAsia" w:hAnsiTheme="minorHAnsi" w:cstheme="minorBidi"/>
          <w:sz w:val="22"/>
          <w:szCs w:val="22"/>
          <w:lang w:eastAsia="en-GB"/>
        </w:rPr>
      </w:pPr>
      <w:r>
        <w:t>4.10</w:t>
      </w:r>
      <w:r>
        <w:tab/>
        <w:t>OpenIOC Framework</w:t>
      </w:r>
      <w:r>
        <w:tab/>
      </w:r>
      <w:r>
        <w:fldChar w:fldCharType="begin"/>
      </w:r>
      <w:r>
        <w:instrText xml:space="preserve"> PAGEREF _Toc451530793 \h </w:instrText>
      </w:r>
      <w:r>
        <w:fldChar w:fldCharType="separate"/>
      </w:r>
      <w:r>
        <w:t>15</w:t>
      </w:r>
      <w:r>
        <w:fldChar w:fldCharType="end"/>
      </w:r>
    </w:p>
    <w:p w14:paraId="20B52DB4" w14:textId="77777777" w:rsidR="00E45DFF" w:rsidRDefault="00E45DFF">
      <w:pPr>
        <w:pStyle w:val="TOC2"/>
        <w:rPr>
          <w:rFonts w:asciiTheme="minorHAnsi" w:eastAsiaTheme="minorEastAsia" w:hAnsiTheme="minorHAnsi" w:cstheme="minorBidi"/>
          <w:sz w:val="22"/>
          <w:szCs w:val="22"/>
          <w:lang w:eastAsia="en-GB"/>
        </w:rPr>
      </w:pPr>
      <w:r>
        <w:t>4.11</w:t>
      </w:r>
      <w:r>
        <w:tab/>
      </w:r>
      <w:r w:rsidRPr="0009343E">
        <w:rPr>
          <w:bCs/>
          <w:lang w:val="en-US"/>
        </w:rPr>
        <w:t>VERIS Framework</w:t>
      </w:r>
      <w:r>
        <w:tab/>
      </w:r>
      <w:r>
        <w:fldChar w:fldCharType="begin"/>
      </w:r>
      <w:r>
        <w:instrText xml:space="preserve"> PAGEREF _Toc451530794 \h </w:instrText>
      </w:r>
      <w:r>
        <w:fldChar w:fldCharType="separate"/>
      </w:r>
      <w:r>
        <w:t>15</w:t>
      </w:r>
      <w:r>
        <w:fldChar w:fldCharType="end"/>
      </w:r>
    </w:p>
    <w:p w14:paraId="61A721E3" w14:textId="77777777" w:rsidR="00E45DFF" w:rsidRDefault="00E45DFF">
      <w:pPr>
        <w:pStyle w:val="TOC2"/>
        <w:rPr>
          <w:rFonts w:asciiTheme="minorHAnsi" w:eastAsiaTheme="minorEastAsia" w:hAnsiTheme="minorHAnsi" w:cstheme="minorBidi"/>
          <w:sz w:val="22"/>
          <w:szCs w:val="22"/>
          <w:lang w:eastAsia="en-GB"/>
        </w:rPr>
      </w:pPr>
      <w:r w:rsidRPr="0009343E">
        <w:rPr>
          <w:bCs/>
          <w:lang w:val="en-US"/>
        </w:rPr>
        <w:t>4.12</w:t>
      </w:r>
      <w:r w:rsidRPr="0009343E">
        <w:rPr>
          <w:bCs/>
          <w:lang w:val="en-US"/>
        </w:rPr>
        <w:tab/>
        <w:t>ETSI ISI (Information Security Indicators) ISG</w:t>
      </w:r>
      <w:r>
        <w:tab/>
      </w:r>
      <w:r>
        <w:fldChar w:fldCharType="begin"/>
      </w:r>
      <w:r>
        <w:instrText xml:space="preserve"> PAGEREF _Toc451530795 \h </w:instrText>
      </w:r>
      <w:r>
        <w:fldChar w:fldCharType="separate"/>
      </w:r>
      <w:r>
        <w:t>15</w:t>
      </w:r>
      <w:r>
        <w:fldChar w:fldCharType="end"/>
      </w:r>
    </w:p>
    <w:p w14:paraId="63CBF6F3" w14:textId="77777777" w:rsidR="00E45DFF" w:rsidRDefault="00E45DFF">
      <w:pPr>
        <w:pStyle w:val="TOC1"/>
        <w:rPr>
          <w:rFonts w:asciiTheme="minorHAnsi" w:eastAsiaTheme="minorEastAsia" w:hAnsiTheme="minorHAnsi" w:cstheme="minorBidi"/>
          <w:szCs w:val="22"/>
          <w:lang w:eastAsia="en-GB"/>
        </w:rPr>
      </w:pPr>
      <w:r>
        <w:t>Annex: Bibliography</w:t>
      </w:r>
      <w:r>
        <w:tab/>
      </w:r>
      <w:r>
        <w:fldChar w:fldCharType="begin"/>
      </w:r>
      <w:r>
        <w:instrText xml:space="preserve"> PAGEREF _Toc451530796 \h </w:instrText>
      </w:r>
      <w:r>
        <w:fldChar w:fldCharType="separate"/>
      </w:r>
      <w:r>
        <w:t>17</w:t>
      </w:r>
      <w:r>
        <w:fldChar w:fldCharType="end"/>
      </w:r>
    </w:p>
    <w:p w14:paraId="22CDC14A" w14:textId="4A7CF4C5" w:rsidR="00E45DFF" w:rsidRDefault="00E45DFF">
      <w:pPr>
        <w:pStyle w:val="TOC9"/>
        <w:rPr>
          <w:rFonts w:asciiTheme="minorHAnsi" w:eastAsiaTheme="minorEastAsia" w:hAnsiTheme="minorHAnsi" w:cstheme="minorBidi"/>
          <w:b w:val="0"/>
          <w:szCs w:val="22"/>
          <w:lang w:eastAsia="en-GB"/>
        </w:rPr>
      </w:pPr>
      <w:r>
        <w:t>History</w:t>
      </w:r>
      <w:r>
        <w:tab/>
      </w:r>
      <w:r>
        <w:tab/>
      </w:r>
      <w:r>
        <w:fldChar w:fldCharType="begin"/>
      </w:r>
      <w:r>
        <w:instrText xml:space="preserve"> PAGEREF _Toc451530797 \h </w:instrText>
      </w:r>
      <w:r>
        <w:fldChar w:fldCharType="separate"/>
      </w:r>
      <w:r>
        <w:t>18</w:t>
      </w:r>
      <w:r>
        <w:fldChar w:fldCharType="end"/>
      </w:r>
    </w:p>
    <w:p w14:paraId="0C57316C" w14:textId="77777777" w:rsidR="00BB6418" w:rsidRPr="00F54712" w:rsidRDefault="00455BFC">
      <w:r w:rsidRPr="003C187C">
        <w:rPr>
          <w:noProof/>
          <w:sz w:val="22"/>
        </w:rPr>
        <w:fldChar w:fldCharType="end"/>
      </w:r>
    </w:p>
    <w:p w14:paraId="080FC13F" w14:textId="77777777" w:rsidR="00172200" w:rsidRPr="00F54712" w:rsidRDefault="00BB6418" w:rsidP="00882573">
      <w:pPr>
        <w:spacing w:after="0"/>
        <w:ind w:left="-567"/>
        <w:rPr>
          <w:rStyle w:val="Guidance"/>
          <w:rFonts w:ascii="Arial" w:hAnsi="Arial" w:cs="Arial"/>
          <w:sz w:val="18"/>
          <w:szCs w:val="18"/>
        </w:rPr>
      </w:pPr>
      <w:r w:rsidRPr="00F54712">
        <w:rPr>
          <w:szCs w:val="36"/>
        </w:rPr>
        <w:br w:type="page"/>
      </w:r>
      <w:bookmarkStart w:id="15" w:name="_Toc300919380"/>
      <w:bookmarkStart w:id="16" w:name="_Toc339380235"/>
    </w:p>
    <w:p w14:paraId="5F754C86" w14:textId="77777777" w:rsidR="00BB6418" w:rsidRPr="00F54712" w:rsidRDefault="00BB6418" w:rsidP="00787554">
      <w:pPr>
        <w:pStyle w:val="Heading1"/>
      </w:pPr>
      <w:bookmarkStart w:id="17" w:name="_Toc389039455"/>
      <w:bookmarkStart w:id="18" w:name="_Toc390250093"/>
      <w:bookmarkStart w:id="19" w:name="_Toc451530766"/>
      <w:r w:rsidRPr="00F54712">
        <w:lastRenderedPageBreak/>
        <w:t>Intellectual Property Rights</w:t>
      </w:r>
      <w:bookmarkEnd w:id="15"/>
      <w:bookmarkEnd w:id="16"/>
      <w:bookmarkEnd w:id="17"/>
      <w:bookmarkEnd w:id="18"/>
      <w:bookmarkEnd w:id="19"/>
    </w:p>
    <w:p w14:paraId="3205AB30" w14:textId="77777777" w:rsidR="00995BDD" w:rsidRPr="00F54712" w:rsidRDefault="00995BDD" w:rsidP="00995BDD">
      <w:r w:rsidRPr="00F54712">
        <w:t xml:space="preserve">IPRs essential or potentially essential to the present document may have been declared to ETSI. The information pertaining to these essential IPRs, if any, is publicly available for </w:t>
      </w:r>
      <w:r w:rsidRPr="00F54712">
        <w:rPr>
          <w:b/>
        </w:rPr>
        <w:t>ETSI members and non-members</w:t>
      </w:r>
      <w:r w:rsidRPr="00F54712">
        <w:t xml:space="preserve">, and can be found in ETSI SR 000 314: </w:t>
      </w:r>
      <w:r w:rsidRPr="00F54712">
        <w:rPr>
          <w:i/>
        </w:rPr>
        <w:t>"Intellectual Property Rights (IPRs); Essential, or potentially Essential, IPRs notified to ETSI in respect of ETSI standards"</w:t>
      </w:r>
      <w:r w:rsidRPr="00F54712">
        <w:t>, which is available from the ETSI Secretariat. Latest updates are available on the ETSI Web server (</w:t>
      </w:r>
      <w:r w:rsidR="004B21DC" w:rsidRPr="00F54712">
        <w:rPr>
          <w:color w:val="0000FF"/>
          <w:u w:val="single"/>
        </w:rPr>
        <w:t>http://ipr.etsi.org</w:t>
      </w:r>
      <w:r w:rsidRPr="00F54712">
        <w:t>).</w:t>
      </w:r>
    </w:p>
    <w:p w14:paraId="1E85299B" w14:textId="77777777" w:rsidR="00995BDD" w:rsidRDefault="00995BDD" w:rsidP="00995BDD">
      <w:r w:rsidRPr="00F54712">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580D1DED" w14:textId="6E3EA6E4" w:rsidR="00694A1A" w:rsidRPr="00F54712" w:rsidRDefault="00694A1A" w:rsidP="00995BDD">
      <w:r>
        <w:t xml:space="preserve">The IPR associated with STIX, TAXII, and CybOX in the form of trademarks and copyrights is held by the U.S. Department of Homeland Security – which in turn has made the rights available </w:t>
      </w:r>
      <w:r w:rsidR="00FE3886">
        <w:t>via a licence that grants “</w:t>
      </w:r>
      <w:r w:rsidR="00FE3886" w:rsidRPr="00FE3886">
        <w:t>a perpetual, irrevocable, non-exclusive, royalty-free, worldwide copyright license, with the right to sublicense to copy, publish, and distribute the STANDARDS SUITES in any way, to prepare derivative works that are based on or incorporate all or part of the STANDARDS SUITES solely for the purpose of developing and promoting cybersecurity and enabling the use of any of the STANDARDS SUITES or derivative products by sublicensees or other users.</w:t>
      </w:r>
      <w:r w:rsidR="00144EC0">
        <w:t xml:space="preserve">”  OASIS pursuant to its Memorandum of Understanding with ETSI, </w:t>
      </w:r>
      <w:r w:rsidR="001C675D">
        <w:t xml:space="preserve">establishes an explicit IPR relationship between OASIS TC CTI and ETSI TC CYBER that </w:t>
      </w:r>
      <w:r w:rsidR="00144EC0">
        <w:t>allows for the inclusion of material from its materials in ETSI documents</w:t>
      </w:r>
      <w:r w:rsidR="001C675D">
        <w:t xml:space="preserve"> pursuant to permission that has been obtained</w:t>
      </w:r>
      <w:r w:rsidR="00144EC0">
        <w:t>.</w:t>
      </w:r>
    </w:p>
    <w:p w14:paraId="7599D8A0" w14:textId="77777777" w:rsidR="00BB6418" w:rsidRPr="00F54712" w:rsidRDefault="00BB6418">
      <w:pPr>
        <w:pStyle w:val="Heading1"/>
      </w:pPr>
      <w:bookmarkStart w:id="20" w:name="_Toc300919381"/>
      <w:bookmarkStart w:id="21" w:name="_Toc339380236"/>
      <w:bookmarkStart w:id="22" w:name="_Toc389039456"/>
      <w:bookmarkStart w:id="23" w:name="_Toc390250094"/>
      <w:bookmarkStart w:id="24" w:name="_Toc451530767"/>
      <w:r w:rsidRPr="00F54712">
        <w:t>Foreword</w:t>
      </w:r>
      <w:bookmarkEnd w:id="20"/>
      <w:bookmarkEnd w:id="21"/>
      <w:bookmarkEnd w:id="22"/>
      <w:bookmarkEnd w:id="23"/>
      <w:bookmarkEnd w:id="24"/>
    </w:p>
    <w:p w14:paraId="2A18709B" w14:textId="77777777" w:rsidR="00BB6418" w:rsidRPr="00F54712" w:rsidRDefault="00BB6418">
      <w:r w:rsidRPr="00F54712">
        <w:t xml:space="preserve">This </w:t>
      </w:r>
      <w:bookmarkStart w:id="25" w:name="For_doctype"/>
      <w:r w:rsidRPr="00F54712">
        <w:t>Technical Report (TR)</w:t>
      </w:r>
      <w:bookmarkEnd w:id="25"/>
      <w:r w:rsidRPr="00F54712">
        <w:t xml:space="preserve"> has been produced by </w:t>
      </w:r>
      <w:bookmarkStart w:id="26" w:name="For_tbname"/>
      <w:r w:rsidR="00E9060F">
        <w:t xml:space="preserve"> </w:t>
      </w:r>
      <w:r w:rsidRPr="00F54712">
        <w:t>ETSI Technical Committee|</w:t>
      </w:r>
      <w:r w:rsidR="00E9060F">
        <w:t xml:space="preserve"> CYBER</w:t>
      </w:r>
      <w:bookmarkEnd w:id="26"/>
      <w:r w:rsidRPr="00F54712">
        <w:t>.</w:t>
      </w:r>
    </w:p>
    <w:p w14:paraId="06A4B52A" w14:textId="77777777" w:rsidR="00414E11" w:rsidRPr="00F54712" w:rsidRDefault="00882573" w:rsidP="00414E11">
      <w:pPr>
        <w:pStyle w:val="Heading1"/>
        <w:rPr>
          <w:b/>
        </w:rPr>
      </w:pPr>
      <w:bookmarkStart w:id="27" w:name="_Toc388348742"/>
      <w:bookmarkStart w:id="28" w:name="_Toc389039458"/>
      <w:bookmarkStart w:id="29" w:name="_Toc390250096"/>
      <w:bookmarkStart w:id="30" w:name="_Toc451530768"/>
      <w:bookmarkStart w:id="31" w:name="_Toc300919383"/>
      <w:bookmarkStart w:id="32" w:name="_Toc339380238"/>
      <w:r w:rsidRPr="00F54712">
        <w:t>Modal verbs terminology</w:t>
      </w:r>
      <w:bookmarkEnd w:id="27"/>
      <w:bookmarkEnd w:id="28"/>
      <w:bookmarkEnd w:id="29"/>
      <w:bookmarkEnd w:id="30"/>
    </w:p>
    <w:p w14:paraId="77C6D157" w14:textId="77777777" w:rsidR="00882573" w:rsidRPr="00810C6B" w:rsidRDefault="00882573" w:rsidP="00882573">
      <w:r w:rsidRPr="00810C6B">
        <w:t>In the present document "</w:t>
      </w:r>
      <w:r w:rsidRPr="00810C6B">
        <w:rPr>
          <w:b/>
          <w:bCs/>
        </w:rPr>
        <w:t>shall</w:t>
      </w:r>
      <w:r w:rsidRPr="00810C6B">
        <w:t>", "</w:t>
      </w:r>
      <w:r w:rsidRPr="00810C6B">
        <w:rPr>
          <w:b/>
          <w:bCs/>
        </w:rPr>
        <w:t>shall not</w:t>
      </w:r>
      <w:r w:rsidRPr="00810C6B">
        <w:t>", "</w:t>
      </w:r>
      <w:r w:rsidRPr="00810C6B">
        <w:rPr>
          <w:b/>
          <w:bCs/>
        </w:rPr>
        <w:t>should</w:t>
      </w:r>
      <w:r w:rsidRPr="00810C6B">
        <w:t>", "</w:t>
      </w:r>
      <w:r w:rsidRPr="00810C6B">
        <w:rPr>
          <w:b/>
          <w:bCs/>
        </w:rPr>
        <w:t>should not</w:t>
      </w:r>
      <w:r w:rsidRPr="00810C6B">
        <w:t>", "</w:t>
      </w:r>
      <w:r w:rsidRPr="00810C6B">
        <w:rPr>
          <w:b/>
          <w:bCs/>
        </w:rPr>
        <w:t>may</w:t>
      </w:r>
      <w:r w:rsidRPr="00810C6B">
        <w:t>", "</w:t>
      </w:r>
      <w:r w:rsidRPr="00810C6B">
        <w:rPr>
          <w:b/>
          <w:bCs/>
        </w:rPr>
        <w:t>may not</w:t>
      </w:r>
      <w:r w:rsidRPr="00810C6B">
        <w:t>", "</w:t>
      </w:r>
      <w:r w:rsidRPr="00810C6B">
        <w:rPr>
          <w:b/>
          <w:bCs/>
        </w:rPr>
        <w:t>need</w:t>
      </w:r>
      <w:r w:rsidRPr="00810C6B">
        <w:t>", "</w:t>
      </w:r>
      <w:r w:rsidRPr="00810C6B">
        <w:rPr>
          <w:b/>
          <w:bCs/>
        </w:rPr>
        <w:t>need not</w:t>
      </w:r>
      <w:r w:rsidR="00454E34" w:rsidRPr="00810C6B">
        <w:t>", "</w:t>
      </w:r>
      <w:r w:rsidRPr="00810C6B">
        <w:rPr>
          <w:b/>
          <w:bCs/>
        </w:rPr>
        <w:t>will</w:t>
      </w:r>
      <w:r w:rsidR="00454E34" w:rsidRPr="00810C6B">
        <w:rPr>
          <w:bCs/>
        </w:rPr>
        <w:t>"</w:t>
      </w:r>
      <w:r w:rsidRPr="00810C6B">
        <w:t xml:space="preserve">, </w:t>
      </w:r>
      <w:r w:rsidR="00454E34" w:rsidRPr="00810C6B">
        <w:rPr>
          <w:bCs/>
        </w:rPr>
        <w:t>"</w:t>
      </w:r>
      <w:r w:rsidRPr="00810C6B">
        <w:rPr>
          <w:b/>
          <w:bCs/>
        </w:rPr>
        <w:t>will not</w:t>
      </w:r>
      <w:r w:rsidR="00454E34" w:rsidRPr="00810C6B">
        <w:rPr>
          <w:bCs/>
        </w:rPr>
        <w:t>"</w:t>
      </w:r>
      <w:r w:rsidRPr="00810C6B">
        <w:t>, "</w:t>
      </w:r>
      <w:r w:rsidRPr="00810C6B">
        <w:rPr>
          <w:b/>
          <w:bCs/>
        </w:rPr>
        <w:t>can</w:t>
      </w:r>
      <w:r w:rsidRPr="00810C6B">
        <w:t>" and "</w:t>
      </w:r>
      <w:r w:rsidRPr="00810C6B">
        <w:rPr>
          <w:b/>
          <w:bCs/>
        </w:rPr>
        <w:t>cannot</w:t>
      </w:r>
      <w:r w:rsidRPr="00810C6B">
        <w:t xml:space="preserve">" are to be interpreted as described in clause 3.2 of the </w:t>
      </w:r>
      <w:hyperlink r:id="rId13" w:history="1">
        <w:r w:rsidRPr="00810C6B">
          <w:rPr>
            <w:rStyle w:val="Hyperlink"/>
          </w:rPr>
          <w:t>ETSI Drafting Rules</w:t>
        </w:r>
      </w:hyperlink>
      <w:r w:rsidRPr="00810C6B">
        <w:t xml:space="preserve"> (Verbal forms for the expression of provisions).</w:t>
      </w:r>
    </w:p>
    <w:p w14:paraId="2159E294" w14:textId="77777777" w:rsidR="009A2D0B" w:rsidRPr="00F54712" w:rsidRDefault="009A2D0B" w:rsidP="009A2D0B">
      <w:pPr>
        <w:pStyle w:val="Heading1"/>
        <w:spacing w:before="0"/>
      </w:pPr>
      <w:bookmarkStart w:id="33" w:name="_Toc388868220"/>
      <w:bookmarkStart w:id="34" w:name="_Toc389039459"/>
      <w:bookmarkStart w:id="35" w:name="_Toc390250097"/>
      <w:bookmarkStart w:id="36" w:name="_Toc451530769"/>
      <w:bookmarkStart w:id="37" w:name="_Toc300919384"/>
      <w:bookmarkStart w:id="38" w:name="_Toc339380239"/>
      <w:bookmarkEnd w:id="31"/>
      <w:bookmarkEnd w:id="32"/>
      <w:r w:rsidRPr="00F54712">
        <w:t>Executive summary</w:t>
      </w:r>
      <w:bookmarkEnd w:id="33"/>
      <w:bookmarkEnd w:id="34"/>
      <w:bookmarkEnd w:id="35"/>
      <w:bookmarkEnd w:id="36"/>
    </w:p>
    <w:p w14:paraId="105617DE" w14:textId="71F9A2B2" w:rsidR="009A2D0B" w:rsidRPr="00F54712" w:rsidRDefault="00AE7242" w:rsidP="00E9060F">
      <w:r>
        <w:t xml:space="preserve">Cyber threat information sharing – often described as threat intelligence sharing – is one of the most important components of an organization’s cyber security program.  It can be obtained internally and from external trusted sources. It </w:t>
      </w:r>
      <w:r w:rsidR="00F9174C">
        <w:t>is</w:t>
      </w:r>
      <w:r>
        <w:t xml:space="preserve"> collected, analysed, shared, and leveraged.  This Technical Report provides a survey of ongoing activities and the resulting platforms that are aimed at structuring and exchanging cyber threat information.  </w:t>
      </w:r>
      <w:r w:rsidR="001A7CD4">
        <w:t>These activities range from those developed among the Computer Emergency Response Teams in the 1990s in the IETF, to cutting-edge new initiatives being advanced in OASIS.</w:t>
      </w:r>
      <w:r w:rsidR="004D07D4">
        <w:t xml:space="preserve">  Some of the platforms are semi-open commercial product communities.</w:t>
      </w:r>
      <w:r w:rsidR="00C631FD">
        <w:t xml:space="preserve">  </w:t>
      </w:r>
      <w:r w:rsidR="003E7F4D">
        <w:t>It is possible that the OASIS CTI work could bring about significant interoperability if not integration in this area.</w:t>
      </w:r>
    </w:p>
    <w:p w14:paraId="51DE59CB" w14:textId="77777777" w:rsidR="009A2D0B" w:rsidRPr="00F54712" w:rsidRDefault="009A2D0B" w:rsidP="009A2D0B">
      <w:pPr>
        <w:pStyle w:val="Heading1"/>
      </w:pPr>
      <w:bookmarkStart w:id="39" w:name="_Toc388868221"/>
      <w:bookmarkStart w:id="40" w:name="_Toc389039460"/>
      <w:bookmarkStart w:id="41" w:name="_Toc390250098"/>
      <w:bookmarkStart w:id="42" w:name="_Toc451530770"/>
      <w:r w:rsidRPr="00F54712">
        <w:t>Introduction</w:t>
      </w:r>
      <w:bookmarkEnd w:id="39"/>
      <w:bookmarkEnd w:id="40"/>
      <w:bookmarkEnd w:id="41"/>
      <w:bookmarkEnd w:id="42"/>
    </w:p>
    <w:p w14:paraId="5A2798C9" w14:textId="0AAF8DDB" w:rsidR="00E4094B" w:rsidRDefault="00FE628B" w:rsidP="00BB4415">
      <w:r w:rsidRPr="00BB4415">
        <w:t xml:space="preserve">The importance of cyber threat information sharing has been underscored recently by the European Union </w:t>
      </w:r>
      <w:r w:rsidR="00822F05">
        <w:t xml:space="preserve">and North America </w:t>
      </w:r>
      <w:r w:rsidRPr="00BB4415">
        <w:t>enacting into organic law, combined with major executive level</w:t>
      </w:r>
      <w:r w:rsidR="00A7014C">
        <w:t xml:space="preserve"> and national</w:t>
      </w:r>
      <w:r w:rsidRPr="00BB4415">
        <w:t xml:space="preserve"> initiatives.</w:t>
      </w:r>
      <w:r w:rsidR="00955422" w:rsidRPr="00BB4415">
        <w:t xml:space="preserve"> </w:t>
      </w:r>
      <w:r w:rsidR="00DD019A" w:rsidRPr="00BB4415">
        <w:t>These actions extend across all information, and infrastructure sectors.</w:t>
      </w:r>
      <w:r w:rsidR="00E4094B">
        <w:t xml:space="preserve">  Some of the more prominent of these </w:t>
      </w:r>
      <w:r w:rsidR="00573F69">
        <w:t xml:space="preserve">recent </w:t>
      </w:r>
      <w:r w:rsidR="00E4094B">
        <w:t>actions include:</w:t>
      </w:r>
    </w:p>
    <w:p w14:paraId="3C1D4145" w14:textId="77777777" w:rsidR="00CD7B85" w:rsidRDefault="00E4094B" w:rsidP="00822F05">
      <w:pPr>
        <w:pStyle w:val="ListParagraph"/>
        <w:numPr>
          <w:ilvl w:val="0"/>
          <w:numId w:val="40"/>
        </w:numPr>
      </w:pPr>
      <w:r>
        <w:t>EU Network Information Security Directive, approved 18 Dec 2015</w:t>
      </w:r>
      <w:r w:rsidR="00CD7B85">
        <w:t xml:space="preserve"> [i.1]</w:t>
      </w:r>
    </w:p>
    <w:p w14:paraId="495DBD45" w14:textId="6DBFF6E3" w:rsidR="00AC14AB" w:rsidRPr="00EB597A" w:rsidRDefault="00D46BFF" w:rsidP="00EB597A">
      <w:pPr>
        <w:pStyle w:val="ListParagraph"/>
        <w:numPr>
          <w:ilvl w:val="0"/>
          <w:numId w:val="40"/>
        </w:numPr>
      </w:pPr>
      <w:r w:rsidRPr="00EB597A">
        <w:rPr>
          <w:lang w:val="en-US"/>
        </w:rPr>
        <w:t xml:space="preserve">Cybersecurity Information </w:t>
      </w:r>
      <w:r w:rsidR="008055FD">
        <w:rPr>
          <w:lang w:val="en-US"/>
        </w:rPr>
        <w:t>S</w:t>
      </w:r>
      <w:r w:rsidR="008055FD" w:rsidRPr="00EB597A">
        <w:rPr>
          <w:lang w:val="en-US"/>
        </w:rPr>
        <w:t xml:space="preserve">haring </w:t>
      </w:r>
      <w:r w:rsidR="008055FD">
        <w:rPr>
          <w:lang w:val="en-US"/>
        </w:rPr>
        <w:t>A</w:t>
      </w:r>
      <w:r w:rsidR="008055FD" w:rsidRPr="00EB597A">
        <w:rPr>
          <w:lang w:val="en-US"/>
        </w:rPr>
        <w:t xml:space="preserve">ct </w:t>
      </w:r>
      <w:r w:rsidRPr="00EB597A">
        <w:rPr>
          <w:lang w:val="en-US"/>
        </w:rPr>
        <w:t>of 2015 (18 Dec 2015)</w:t>
      </w:r>
      <w:r w:rsidR="00627FB3">
        <w:rPr>
          <w:lang w:val="en-US"/>
        </w:rPr>
        <w:t xml:space="preserve"> [i.2]</w:t>
      </w:r>
    </w:p>
    <w:p w14:paraId="3887AC4E" w14:textId="77777777" w:rsidR="00EB597A" w:rsidRDefault="006A2DEB" w:rsidP="00627FB3">
      <w:pPr>
        <w:pStyle w:val="ListParagraph"/>
        <w:numPr>
          <w:ilvl w:val="0"/>
          <w:numId w:val="40"/>
        </w:numPr>
      </w:pPr>
      <w:r>
        <w:t>CPNI, Threat Intelligence: Collecting, Analysing, Evaluating</w:t>
      </w:r>
      <w:r w:rsidR="00627FB3" w:rsidRPr="00627FB3">
        <w:t xml:space="preserve">, </w:t>
      </w:r>
      <w:r>
        <w:t xml:space="preserve">23 Mar </w:t>
      </w:r>
      <w:r w:rsidR="00627FB3" w:rsidRPr="00627FB3">
        <w:t xml:space="preserve">2015 </w:t>
      </w:r>
      <w:r w:rsidR="00627FB3">
        <w:t>[i.</w:t>
      </w:r>
      <w:r w:rsidR="00716FF4">
        <w:t>3</w:t>
      </w:r>
      <w:r w:rsidR="00627FB3">
        <w:t>]</w:t>
      </w:r>
    </w:p>
    <w:p w14:paraId="47E9F41E" w14:textId="77777777" w:rsidR="00D60CDF" w:rsidRDefault="00D60CDF" w:rsidP="00627FB3">
      <w:pPr>
        <w:pStyle w:val="ListParagraph"/>
        <w:numPr>
          <w:ilvl w:val="0"/>
          <w:numId w:val="40"/>
        </w:numPr>
      </w:pPr>
      <w:r>
        <w:t>Launch of the Canadian Cyber Threat Exchange, 11 Dec 2015</w:t>
      </w:r>
    </w:p>
    <w:p w14:paraId="7546FD2F" w14:textId="77777777" w:rsidR="00C7029A" w:rsidRDefault="00A7014C" w:rsidP="00573F69">
      <w:r>
        <w:t xml:space="preserve">Against this backdrop of initiatives that included the scaling of Financial Services Information Sharing and Analysis Center (FS-ISAC) and </w:t>
      </w:r>
      <w:r w:rsidRPr="00A7014C">
        <w:t>The Depository Trus</w:t>
      </w:r>
      <w:r w:rsidR="000955B1">
        <w:t xml:space="preserve">t &amp; Clearing Corporation (DTCC) </w:t>
      </w:r>
      <w:r>
        <w:t xml:space="preserve">activities, the OASIS Cyber Threat Intelligence Technical Committee was formed </w:t>
      </w:r>
      <w:r w:rsidR="000955B1">
        <w:t xml:space="preserve">in 2015 </w:t>
      </w:r>
      <w:r>
        <w:t xml:space="preserve">to bring together a broad </w:t>
      </w:r>
      <w:r w:rsidR="000955B1">
        <w:t>and rapidly growing array of public and private sector organizations to advance a global set of standards</w:t>
      </w:r>
      <w:r w:rsidR="0040413E">
        <w:t xml:space="preserve"> for structured threat information sharing.</w:t>
      </w:r>
      <w:r w:rsidR="000955B1">
        <w:t xml:space="preserve"> </w:t>
      </w:r>
    </w:p>
    <w:p w14:paraId="3F6BEF8E" w14:textId="79CB1A1C" w:rsidR="00573F69" w:rsidRPr="00573F69" w:rsidRDefault="00C7029A" w:rsidP="00573F69">
      <w:r>
        <w:lastRenderedPageBreak/>
        <w:t>This Technical Report</w:t>
      </w:r>
      <w:r w:rsidR="00922229">
        <w:t>,</w:t>
      </w:r>
      <w:r>
        <w:t xml:space="preserve"> describes the known array of existing structured threat information sharing work in diverse bodies, including the developments underway in OASIS TC CYBER which can form the basis </w:t>
      </w:r>
      <w:r w:rsidR="005B49DC">
        <w:t>for</w:t>
      </w:r>
      <w:r>
        <w:t xml:space="preserve"> expanded cooperation based on </w:t>
      </w:r>
      <w:r w:rsidR="00067E1A">
        <w:t>existing</w:t>
      </w:r>
      <w:r>
        <w:t xml:space="preserve"> ETSI and OASIS collaborative agreements</w:t>
      </w:r>
      <w:r w:rsidR="00477871">
        <w:t xml:space="preserve"> and working relationships among Technical Committees</w:t>
      </w:r>
      <w:r>
        <w:t>.</w:t>
      </w:r>
      <w:r w:rsidR="00E9060F" w:rsidRPr="00573F69">
        <w:br w:type="page"/>
      </w:r>
    </w:p>
    <w:p w14:paraId="2AD2019D" w14:textId="77777777" w:rsidR="00BB6418" w:rsidRPr="00F54712" w:rsidRDefault="00BB6418" w:rsidP="00BB6418">
      <w:pPr>
        <w:pStyle w:val="Heading1"/>
      </w:pPr>
      <w:bookmarkStart w:id="43" w:name="_Toc389039461"/>
      <w:bookmarkStart w:id="44" w:name="_Toc390250099"/>
      <w:bookmarkStart w:id="45" w:name="_Toc451530771"/>
      <w:r w:rsidRPr="00F54712">
        <w:lastRenderedPageBreak/>
        <w:t>1</w:t>
      </w:r>
      <w:r w:rsidRPr="00F54712">
        <w:tab/>
        <w:t>Scope</w:t>
      </w:r>
      <w:bookmarkEnd w:id="37"/>
      <w:bookmarkEnd w:id="38"/>
      <w:bookmarkEnd w:id="43"/>
      <w:bookmarkEnd w:id="44"/>
      <w:bookmarkEnd w:id="45"/>
    </w:p>
    <w:p w14:paraId="5594B482" w14:textId="77777777" w:rsidR="00787554" w:rsidRPr="00F54712" w:rsidRDefault="00057496" w:rsidP="00787554">
      <w:r w:rsidRPr="00057496">
        <w:t xml:space="preserve">The present document </w:t>
      </w:r>
      <w:r w:rsidR="00172575">
        <w:t>provides an overview on the</w:t>
      </w:r>
      <w:r w:rsidR="00172575" w:rsidRPr="00057496">
        <w:t xml:space="preserve"> </w:t>
      </w:r>
      <w:r w:rsidR="006B72E7" w:rsidRPr="006B72E7">
        <w:t>means for describing and exchanging cyber threat information in a standardized and structured manner. Such information includes include technical indicators of adversary activity, contextual information, exploitation</w:t>
      </w:r>
      <w:r w:rsidR="006B72E7">
        <w:t xml:space="preserve"> targets, and courses of action</w:t>
      </w:r>
      <w:r w:rsidRPr="00057496">
        <w:t>.</w:t>
      </w:r>
      <w:r w:rsidR="000F76F2">
        <w:t xml:space="preserve"> The </w:t>
      </w:r>
      <w:r w:rsidR="001E5841">
        <w:t xml:space="preserve">existence and </w:t>
      </w:r>
      <w:r w:rsidR="000F76F2">
        <w:t>creation of organizations for the exchange of this information are out of scope.</w:t>
      </w:r>
    </w:p>
    <w:p w14:paraId="44DDBC36" w14:textId="77777777" w:rsidR="009A2D0B" w:rsidRPr="00F54712" w:rsidRDefault="00787554" w:rsidP="009A2D0B">
      <w:pPr>
        <w:pStyle w:val="Heading1"/>
      </w:pPr>
      <w:bookmarkStart w:id="46" w:name="_Toc300919385"/>
      <w:bookmarkStart w:id="47" w:name="_Toc339380240"/>
      <w:bookmarkStart w:id="48" w:name="_Toc389039462"/>
      <w:bookmarkStart w:id="49" w:name="_Toc390250100"/>
      <w:bookmarkStart w:id="50" w:name="_Toc451530772"/>
      <w:r w:rsidRPr="00F54712">
        <w:t>2</w:t>
      </w:r>
      <w:r w:rsidRPr="00F54712">
        <w:tab/>
        <w:t>References</w:t>
      </w:r>
      <w:bookmarkEnd w:id="46"/>
      <w:bookmarkEnd w:id="47"/>
      <w:bookmarkEnd w:id="48"/>
      <w:bookmarkEnd w:id="49"/>
      <w:bookmarkEnd w:id="50"/>
    </w:p>
    <w:p w14:paraId="098A4D6B" w14:textId="77777777" w:rsidR="00E95952" w:rsidRPr="00F54712" w:rsidRDefault="00E95952" w:rsidP="00730BFF">
      <w:r w:rsidRPr="00F54712">
        <w:t>References are either specific (identified by date of publication and/or edition number or version number) or non</w:t>
      </w:r>
      <w:r w:rsidRPr="00F54712">
        <w:noBreakHyphen/>
        <w:t xml:space="preserve">specific. For specific </w:t>
      </w:r>
      <w:r w:rsidR="00F54712" w:rsidRPr="00F54712">
        <w:t>references, only</w:t>
      </w:r>
      <w:r w:rsidRPr="00F54712">
        <w:t xml:space="preserve"> the cited version applies. For non-specific references, the latest version of the referenced document (including any amendments) applies.</w:t>
      </w:r>
    </w:p>
    <w:p w14:paraId="19C8C7A2" w14:textId="77777777" w:rsidR="00653A3B" w:rsidRPr="00F54712" w:rsidRDefault="00653A3B" w:rsidP="00653A3B">
      <w:r w:rsidRPr="00F54712">
        <w:t xml:space="preserve">Referenced documents which are not found to be publicly available in the expected location might be found at </w:t>
      </w:r>
      <w:hyperlink r:id="rId14" w:history="1">
        <w:r w:rsidRPr="00F54712">
          <w:rPr>
            <w:rStyle w:val="Hyperlink"/>
          </w:rPr>
          <w:t>http://docbox.etsi.org/Reference</w:t>
        </w:r>
      </w:hyperlink>
      <w:r w:rsidRPr="00F54712">
        <w:t>.</w:t>
      </w:r>
    </w:p>
    <w:p w14:paraId="469F4973" w14:textId="77777777" w:rsidR="00653A3B" w:rsidRPr="00F54712" w:rsidRDefault="00653A3B" w:rsidP="00653A3B">
      <w:pPr>
        <w:pStyle w:val="NO"/>
      </w:pPr>
      <w:r w:rsidRPr="00F54712">
        <w:t>NOTE:</w:t>
      </w:r>
      <w:r w:rsidRPr="00F54712">
        <w:tab/>
        <w:t>While any hyperlinks included in this clause were valid at the time of publication ETSI cannot guarantee their long term validity.</w:t>
      </w:r>
    </w:p>
    <w:p w14:paraId="67D19213" w14:textId="77777777" w:rsidR="00653A3B" w:rsidRPr="00F54712" w:rsidRDefault="00653A3B" w:rsidP="00653A3B">
      <w:pPr>
        <w:pStyle w:val="Heading2"/>
      </w:pPr>
      <w:bookmarkStart w:id="51" w:name="_Toc300919386"/>
      <w:bookmarkStart w:id="52" w:name="_Toc339380241"/>
      <w:bookmarkStart w:id="53" w:name="_Toc389039463"/>
      <w:bookmarkStart w:id="54" w:name="_Toc390250101"/>
      <w:bookmarkStart w:id="55" w:name="_Toc451530773"/>
      <w:r w:rsidRPr="00F54712">
        <w:t>2.1</w:t>
      </w:r>
      <w:r w:rsidRPr="00F54712">
        <w:tab/>
        <w:t>Normative references</w:t>
      </w:r>
      <w:bookmarkEnd w:id="51"/>
      <w:bookmarkEnd w:id="52"/>
      <w:bookmarkEnd w:id="53"/>
      <w:bookmarkEnd w:id="54"/>
      <w:bookmarkEnd w:id="55"/>
    </w:p>
    <w:p w14:paraId="6DDDBFD0" w14:textId="77777777" w:rsidR="00E95952" w:rsidRPr="00F54712" w:rsidRDefault="00E95952" w:rsidP="00E95952">
      <w:pPr>
        <w:rPr>
          <w:lang w:eastAsia="en-GB"/>
        </w:rPr>
      </w:pPr>
      <w:r w:rsidRPr="00F54712">
        <w:rPr>
          <w:lang w:eastAsia="en-GB"/>
        </w:rPr>
        <w:t>The following referenced documents are necessary for the application of the present document.</w:t>
      </w:r>
    </w:p>
    <w:p w14:paraId="6F147164" w14:textId="77777777" w:rsidR="005E1047" w:rsidRPr="00F54712" w:rsidRDefault="005E1047" w:rsidP="005E1047">
      <w:r w:rsidRPr="00F54712">
        <w:t>Not applicable.</w:t>
      </w:r>
    </w:p>
    <w:p w14:paraId="7E4EF9A4" w14:textId="49190F3E" w:rsidR="00653A3B" w:rsidRPr="00F54712" w:rsidRDefault="00653A3B" w:rsidP="00056A8D">
      <w:pPr>
        <w:pStyle w:val="Heading2"/>
        <w:keepNext w:val="0"/>
        <w:widowControl w:val="0"/>
      </w:pPr>
      <w:bookmarkStart w:id="56" w:name="_Toc300919387"/>
      <w:bookmarkStart w:id="57" w:name="_Toc339380242"/>
      <w:bookmarkStart w:id="58" w:name="_Toc389039464"/>
      <w:bookmarkStart w:id="59" w:name="_Toc390250102"/>
      <w:bookmarkStart w:id="60" w:name="_Toc451530774"/>
      <w:r w:rsidRPr="00F54712">
        <w:t>2.2</w:t>
      </w:r>
      <w:r w:rsidRPr="00F54712">
        <w:tab/>
        <w:t>Informative references</w:t>
      </w:r>
      <w:bookmarkEnd w:id="56"/>
      <w:bookmarkEnd w:id="57"/>
      <w:bookmarkEnd w:id="58"/>
      <w:bookmarkEnd w:id="59"/>
      <w:bookmarkEnd w:id="60"/>
    </w:p>
    <w:p w14:paraId="36CC1392" w14:textId="77777777" w:rsidR="00E95952" w:rsidRPr="00F54712" w:rsidRDefault="00E95952" w:rsidP="00056A8D">
      <w:pPr>
        <w:widowControl w:val="0"/>
      </w:pPr>
      <w:r w:rsidRPr="00F54712">
        <w:rPr>
          <w:lang w:eastAsia="en-GB"/>
        </w:rPr>
        <w:t xml:space="preserve">The following referenced documents are </w:t>
      </w:r>
      <w:r w:rsidRPr="00F54712">
        <w:t>not necessary for the application of the present document but they assist the user with regard to a particular subject area.</w:t>
      </w:r>
    </w:p>
    <w:p w14:paraId="4E179FC8" w14:textId="7FB5A040" w:rsidR="00234A51" w:rsidRDefault="00234A51" w:rsidP="00056A8D">
      <w:pPr>
        <w:pStyle w:val="EX"/>
        <w:widowControl w:val="0"/>
      </w:pPr>
      <w:r w:rsidRPr="00F54712">
        <w:t>[i.1]</w:t>
      </w:r>
      <w:r w:rsidR="007F716A">
        <w:rPr>
          <w:rFonts w:ascii="Wingdings 3" w:hAnsi="Wingdings 3"/>
          <w:color w:val="76923C"/>
        </w:rPr>
        <w:tab/>
      </w:r>
      <w:r w:rsidR="00E609DE" w:rsidRPr="00E609DE">
        <w:t xml:space="preserve">DIRECTIVE </w:t>
      </w:r>
      <w:r w:rsidR="00F45BD4">
        <w:t>(EU) 2016/…</w:t>
      </w:r>
      <w:r w:rsidR="00E609DE" w:rsidRPr="00E609DE">
        <w:t>OF THE EUROPEAN PARLIAMENT AND OF THE COUNCIL</w:t>
      </w:r>
      <w:r w:rsidR="00E609DE">
        <w:t xml:space="preserve"> </w:t>
      </w:r>
      <w:r w:rsidR="00E609DE" w:rsidRPr="00E609DE">
        <w:t>concerning measures with a view to achieving for a high common level of security of network and information security systems across the Union</w:t>
      </w:r>
      <w:r w:rsidR="00CD7B85">
        <w:t xml:space="preserve">, </w:t>
      </w:r>
      <w:r w:rsidR="00CD7B85" w:rsidRPr="00CD7B85">
        <w:t xml:space="preserve">Brussels, </w:t>
      </w:r>
      <w:r w:rsidR="00724DD5">
        <w:t>21 April 2016 (5581/16)</w:t>
      </w:r>
      <w:r w:rsidRPr="00F54712">
        <w:t>.</w:t>
      </w:r>
    </w:p>
    <w:p w14:paraId="7B598A07" w14:textId="084CBC57" w:rsidR="00CD7B85" w:rsidRDefault="00CD7B85" w:rsidP="00056A8D">
      <w:pPr>
        <w:pStyle w:val="EX"/>
        <w:widowControl w:val="0"/>
      </w:pPr>
      <w:r>
        <w:t>[i.2]</w:t>
      </w:r>
      <w:r>
        <w:tab/>
      </w:r>
      <w:r w:rsidR="00724DD5">
        <w:t>“</w:t>
      </w:r>
      <w:r w:rsidR="00573F69" w:rsidRPr="00EB597A">
        <w:rPr>
          <w:lang w:val="en-US"/>
        </w:rPr>
        <w:t>Cybersecurity Information sharing act of 2015</w:t>
      </w:r>
      <w:r w:rsidR="00573F69">
        <w:rPr>
          <w:lang w:val="en-US"/>
        </w:rPr>
        <w:t>,</w:t>
      </w:r>
      <w:r w:rsidR="00724DD5">
        <w:rPr>
          <w:lang w:val="en-US"/>
        </w:rPr>
        <w:t>”</w:t>
      </w:r>
      <w:r w:rsidR="00573F69" w:rsidRPr="00EB597A">
        <w:rPr>
          <w:lang w:val="en-US"/>
        </w:rPr>
        <w:t xml:space="preserve"> 18 Dec 2015</w:t>
      </w:r>
      <w:r w:rsidR="00A314BF">
        <w:rPr>
          <w:lang w:val="en-US"/>
        </w:rPr>
        <w:t xml:space="preserve">, </w:t>
      </w:r>
      <w:r w:rsidR="00724DD5" w:rsidRPr="00724DD5">
        <w:rPr>
          <w:lang w:val="en-US"/>
        </w:rPr>
        <w:t>U.S. Congress. Public Law. 114-113, “Consolidated Appropriations</w:t>
      </w:r>
      <w:r w:rsidR="00724DD5">
        <w:rPr>
          <w:lang w:val="en-US"/>
        </w:rPr>
        <w:t xml:space="preserve"> Act, 2016” Division N, Title I</w:t>
      </w:r>
      <w:r w:rsidR="00A314BF">
        <w:rPr>
          <w:lang w:val="en-US"/>
        </w:rPr>
        <w:t>.</w:t>
      </w:r>
      <w:r w:rsidR="00724DD5">
        <w:rPr>
          <w:lang w:val="en-US"/>
        </w:rPr>
        <w:t xml:space="preserve"> </w:t>
      </w:r>
      <w:r w:rsidR="00724DD5" w:rsidRPr="00724DD5">
        <w:rPr>
          <w:lang w:val="en-US"/>
        </w:rPr>
        <w:t xml:space="preserve">The Department of Homeland Security, The Department of Justice, </w:t>
      </w:r>
      <w:r w:rsidR="00724DD5">
        <w:rPr>
          <w:lang w:val="en-US"/>
        </w:rPr>
        <w:t>“</w:t>
      </w:r>
      <w:r w:rsidR="00724DD5" w:rsidRPr="00724DD5">
        <w:rPr>
          <w:lang w:val="en-US"/>
        </w:rPr>
        <w:t xml:space="preserve">Guidance to Assist Non-Federal Entities to Share Cyber Threat Indicators and Defensive Measures with Federal Entities under the Cybersecurity </w:t>
      </w:r>
      <w:r w:rsidR="00724DD5">
        <w:rPr>
          <w:lang w:val="en-US"/>
        </w:rPr>
        <w:t>Information Sharing Act of 2015,”</w:t>
      </w:r>
      <w:r w:rsidR="00724DD5" w:rsidRPr="00724DD5">
        <w:rPr>
          <w:lang w:val="en-US"/>
        </w:rPr>
        <w:t xml:space="preserve"> February 16, 2016.</w:t>
      </w:r>
      <w:r w:rsidR="00724DD5">
        <w:rPr>
          <w:lang w:val="en-US"/>
        </w:rPr>
        <w:t xml:space="preserve"> </w:t>
      </w:r>
      <w:hyperlink r:id="rId15" w:history="1">
        <w:r w:rsidR="00724DD5" w:rsidRPr="00E973E9">
          <w:rPr>
            <w:rStyle w:val="Hyperlink"/>
            <w:lang w:val="en-US"/>
          </w:rPr>
          <w:t>https://www.us-cert.gov/sites/default/files/ais_files/Non-Federal_Entity_Sharing_Guidance_%28Sec%20105%28a%29%29.pdf</w:t>
        </w:r>
      </w:hyperlink>
    </w:p>
    <w:p w14:paraId="6FBBE6D7" w14:textId="77777777" w:rsidR="00A16A30" w:rsidRDefault="00A16A30" w:rsidP="00056A8D">
      <w:pPr>
        <w:pStyle w:val="EX"/>
        <w:widowControl w:val="0"/>
      </w:pPr>
      <w:bookmarkStart w:id="61" w:name="_Toc300919388"/>
      <w:bookmarkStart w:id="62" w:name="_Toc339380243"/>
      <w:bookmarkStart w:id="63" w:name="_Toc389039465"/>
      <w:bookmarkStart w:id="64" w:name="_Toc390250103"/>
      <w:r>
        <w:t>[i.3]</w:t>
      </w:r>
      <w:r>
        <w:tab/>
        <w:t xml:space="preserve">CPNI, “Threat Intelligence: Collecting, Analysing, Evaluating,” Center for the Protection of National Infrastructure, </w:t>
      </w:r>
      <w:hyperlink r:id="rId16" w:history="1">
        <w:r w:rsidRPr="00833F7F">
          <w:rPr>
            <w:rStyle w:val="Hyperlink"/>
          </w:rPr>
          <w:t>https://www.cpni.gov.uk/Documents/Publications/2015/23-March-2015-MWR_Threat_Intelligence_whitepaper-2015.pdf</w:t>
        </w:r>
      </w:hyperlink>
    </w:p>
    <w:p w14:paraId="1693B394" w14:textId="19A68B16" w:rsidR="00A16A30" w:rsidRDefault="00A16A30" w:rsidP="00056A8D">
      <w:pPr>
        <w:pStyle w:val="EX"/>
        <w:widowControl w:val="0"/>
      </w:pPr>
      <w:r>
        <w:t>[i.4]</w:t>
      </w:r>
      <w:r>
        <w:tab/>
      </w:r>
      <w:r w:rsidR="00A354C7">
        <w:t xml:space="preserve">OASIS Specifications, STIX 1.2.1, TAXII 1.1.1, CybOX 2.1.1;  draft Specifications STIX 2.0, TAXII 2.0, CybOX 3.0; draft CybOX 3.0 Roadmap, CybOX 3.0 Visualation, </w:t>
      </w:r>
      <w:hyperlink r:id="rId17" w:history="1">
        <w:r w:rsidR="00A354C7" w:rsidRPr="00A354C7">
          <w:rPr>
            <w:rStyle w:val="Hyperlink"/>
          </w:rPr>
          <w:t>https://www.oasis-open.org/committees/tc_home.php?wg_abbrev=cti</w:t>
        </w:r>
      </w:hyperlink>
      <w:r w:rsidR="00295928">
        <w:t xml:space="preserve">.  See also, </w:t>
      </w:r>
      <w:r w:rsidR="00295928" w:rsidRPr="00295928">
        <w:t>OASIS Cyber Threat Intelligence (CTI) TC Wi</w:t>
      </w:r>
      <w:r w:rsidR="00295928">
        <w:t xml:space="preserve">ki, </w:t>
      </w:r>
      <w:hyperlink r:id="rId18" w:history="1">
        <w:r w:rsidR="00295928" w:rsidRPr="00295928">
          <w:rPr>
            <w:rStyle w:val="Hyperlink"/>
          </w:rPr>
          <w:t>https://wiki.oasis-open.org/cti/</w:t>
        </w:r>
      </w:hyperlink>
      <w:r w:rsidR="0073003E">
        <w:t xml:space="preserve">; Sean Barnum, </w:t>
      </w:r>
      <w:r w:rsidR="0073003E" w:rsidRPr="0073003E">
        <w:t>Standardizing Cyber Threat Intelligence Information with the Structured Threat Information eXpression (STIX™)</w:t>
      </w:r>
      <w:r w:rsidR="0073003E">
        <w:t>, MITRE (Feb. 20, 2014).</w:t>
      </w:r>
    </w:p>
    <w:p w14:paraId="78740B1A" w14:textId="57937BB6" w:rsidR="00A16A30" w:rsidRDefault="00A16A30" w:rsidP="00056A8D">
      <w:pPr>
        <w:pStyle w:val="EX"/>
        <w:widowControl w:val="0"/>
      </w:pPr>
      <w:r>
        <w:t>[i.5]</w:t>
      </w:r>
      <w:r>
        <w:tab/>
      </w:r>
      <w:r w:rsidR="00295928">
        <w:t xml:space="preserve">OASIS </w:t>
      </w:r>
      <w:r>
        <w:t>.</w:t>
      </w:r>
      <w:r w:rsidR="00295928" w:rsidRPr="00295928">
        <w:t xml:space="preserve"> Cyber Threat Intelligence (CTI) TC</w:t>
      </w:r>
      <w:r w:rsidR="00295928">
        <w:t xml:space="preserve"> Meeting </w:t>
      </w:r>
      <w:r w:rsidR="005937FB">
        <w:t>Notes</w:t>
      </w:r>
      <w:r w:rsidR="00295928">
        <w:t xml:space="preserve">, </w:t>
      </w:r>
      <w:r w:rsidR="005937FB" w:rsidRPr="005937FB">
        <w:t>OASIS Cyber Threat Intelligence (CTI) TC Documents</w:t>
      </w:r>
      <w:r w:rsidR="005937FB">
        <w:t xml:space="preserve">, </w:t>
      </w:r>
      <w:hyperlink r:id="rId19" w:history="1">
        <w:r w:rsidR="005937FB" w:rsidRPr="005937FB">
          <w:rPr>
            <w:rStyle w:val="Hyperlink"/>
          </w:rPr>
          <w:t>https://www.oasis-open.org/apps/org/workgroup/cti/documents.php?folder_id=2978</w:t>
        </w:r>
      </w:hyperlink>
      <w:r w:rsidR="005937FB">
        <w:t>.</w:t>
      </w:r>
    </w:p>
    <w:p w14:paraId="34A7CD9C" w14:textId="69FAAB6D" w:rsidR="009E56E6" w:rsidRDefault="009E56E6" w:rsidP="00056A8D">
      <w:pPr>
        <w:pStyle w:val="EX"/>
        <w:widowControl w:val="0"/>
      </w:pPr>
      <w:r>
        <w:t>[</w:t>
      </w:r>
      <w:r w:rsidR="00751D2E">
        <w:t>i.7</w:t>
      </w:r>
      <w:r>
        <w:t>]</w:t>
      </w:r>
      <w:r>
        <w:tab/>
        <w:t xml:space="preserve">Internet Engineering Task Force (IETF), Managed Incident Lightweight Exchange (mile) Working Group, </w:t>
      </w:r>
      <w:hyperlink r:id="rId20" w:history="1">
        <w:r w:rsidRPr="00037596">
          <w:rPr>
            <w:rStyle w:val="Hyperlink"/>
          </w:rPr>
          <w:t>https://datatracker.ietf.org/wg/mile/documents/</w:t>
        </w:r>
      </w:hyperlink>
    </w:p>
    <w:p w14:paraId="3BE75D84" w14:textId="214445FC" w:rsidR="009E56E6" w:rsidRDefault="009E56E6" w:rsidP="00056A8D">
      <w:pPr>
        <w:pStyle w:val="EX"/>
        <w:widowControl w:val="0"/>
      </w:pPr>
      <w:r>
        <w:lastRenderedPageBreak/>
        <w:t>[</w:t>
      </w:r>
      <w:r w:rsidR="00751D2E">
        <w:t>i.8</w:t>
      </w:r>
      <w:r>
        <w:t xml:space="preserve">] </w:t>
      </w:r>
      <w:r>
        <w:tab/>
        <w:t>International Telecommunication Telecommunication Standardization Sector (ITU-T)</w:t>
      </w:r>
      <w:r w:rsidR="00751D2E">
        <w:t xml:space="preserve">, </w:t>
      </w:r>
      <w:r w:rsidR="00751D2E" w:rsidRPr="00751D2E">
        <w:t>ITU-T X.1500</w:t>
      </w:r>
      <w:r w:rsidR="00037596">
        <w:t>-Series</w:t>
      </w:r>
      <w:r w:rsidR="00751D2E">
        <w:t>, “</w:t>
      </w:r>
      <w:r w:rsidR="00037596">
        <w:t>C</w:t>
      </w:r>
      <w:r w:rsidR="00751D2E" w:rsidRPr="00751D2E">
        <w:t>ybersecurity information exchange</w:t>
      </w:r>
      <w:r w:rsidR="00037596">
        <w:t>,</w:t>
      </w:r>
      <w:r w:rsidR="00751D2E">
        <w:t>”</w:t>
      </w:r>
      <w:r>
        <w:t xml:space="preserve"> </w:t>
      </w:r>
      <w:hyperlink r:id="rId21" w:history="1">
        <w:r w:rsidR="00037596" w:rsidRPr="00037596">
          <w:rPr>
            <w:rStyle w:val="Hyperlink"/>
          </w:rPr>
          <w:t>http</w:t>
        </w:r>
        <w:r w:rsidR="00037596" w:rsidRPr="00C16AAE">
          <w:rPr>
            <w:rStyle w:val="Hyperlink"/>
          </w:rPr>
          <w:t>s://www.itu.int/itu-t/recommendations/index.aspx?ser=X</w:t>
        </w:r>
      </w:hyperlink>
    </w:p>
    <w:p w14:paraId="7F8402AE" w14:textId="355AEAA2" w:rsidR="000D76BD" w:rsidRDefault="000D76BD" w:rsidP="00056A8D">
      <w:pPr>
        <w:pStyle w:val="EX"/>
        <w:widowControl w:val="0"/>
      </w:pPr>
      <w:r>
        <w:t>[i.9]</w:t>
      </w:r>
      <w:r>
        <w:tab/>
        <w:t xml:space="preserve">ITU-T work progarmme, 2013-2016, SG17, Q4/17, </w:t>
      </w:r>
      <w:hyperlink r:id="rId22" w:history="1">
        <w:r w:rsidRPr="00C16AAE">
          <w:rPr>
            <w:rStyle w:val="Hyperlink"/>
          </w:rPr>
          <w:t>http://www.itu.int/itu-t/workprog/wp_search.aspx</w:t>
        </w:r>
      </w:hyperlink>
      <w:r w:rsidRPr="000D76BD">
        <w:t>?</w:t>
      </w:r>
      <w:r>
        <w:t xml:space="preserve"> </w:t>
      </w:r>
    </w:p>
    <w:p w14:paraId="30B9AE63" w14:textId="49BF12AA" w:rsidR="00AE406F" w:rsidRDefault="00AE406F" w:rsidP="00056A8D">
      <w:pPr>
        <w:pStyle w:val="EX"/>
        <w:widowControl w:val="0"/>
      </w:pPr>
      <w:r>
        <w:t>[i.10]</w:t>
      </w:r>
      <w:r>
        <w:tab/>
      </w:r>
      <w:r w:rsidR="00B95FB9">
        <w:t xml:space="preserve">ETSI </w:t>
      </w:r>
      <w:r w:rsidR="00B95FB9" w:rsidRPr="00B95FB9">
        <w:t>ISG ISI (Information Security Indicators) initial Terms of Reference</w:t>
      </w:r>
      <w:r w:rsidR="00B95FB9">
        <w:t xml:space="preserve">, </w:t>
      </w:r>
      <w:hyperlink r:id="rId23" w:history="1">
        <w:r w:rsidR="00B95FB9" w:rsidRPr="00B95FB9">
          <w:rPr>
            <w:rStyle w:val="Hyperlink"/>
          </w:rPr>
          <w:t>https://portal.etsi.org/ISI/ISI_ISG_ToR_Sep2011.pdf</w:t>
        </w:r>
      </w:hyperlink>
    </w:p>
    <w:p w14:paraId="423BE3D1" w14:textId="27745AFA" w:rsidR="00B95FB9" w:rsidRPr="00F54712" w:rsidRDefault="00B95FB9" w:rsidP="00056A8D">
      <w:pPr>
        <w:pStyle w:val="EX"/>
        <w:widowControl w:val="0"/>
        <w:rPr>
          <w:sz w:val="24"/>
        </w:rPr>
      </w:pPr>
      <w:r>
        <w:t>[i.11]</w:t>
      </w:r>
      <w:r>
        <w:tab/>
      </w:r>
      <w:r w:rsidRPr="00B95FB9">
        <w:t>ETSI GS ISI 001</w:t>
      </w:r>
      <w:r>
        <w:t>-1, “</w:t>
      </w:r>
      <w:r w:rsidRPr="00B95FB9">
        <w:t>Information Security Indicators (ISI)</w:t>
      </w:r>
      <w:r>
        <w:t>; Indicators (INC)”</w:t>
      </w:r>
    </w:p>
    <w:p w14:paraId="6F356764" w14:textId="6C399C82" w:rsidR="00BB6418" w:rsidRPr="00F54712" w:rsidRDefault="00BB6418">
      <w:pPr>
        <w:pStyle w:val="Heading1"/>
      </w:pPr>
      <w:bookmarkStart w:id="65" w:name="_Toc451530775"/>
      <w:r w:rsidRPr="00F54712">
        <w:t>3</w:t>
      </w:r>
      <w:r w:rsidRPr="00F54712">
        <w:tab/>
        <w:t>Definitions, symbols and abbreviations</w:t>
      </w:r>
      <w:bookmarkEnd w:id="61"/>
      <w:bookmarkEnd w:id="62"/>
      <w:bookmarkEnd w:id="63"/>
      <w:bookmarkEnd w:id="64"/>
      <w:bookmarkEnd w:id="65"/>
    </w:p>
    <w:p w14:paraId="6ECC4FED" w14:textId="77777777" w:rsidR="00787554" w:rsidRPr="00F54712" w:rsidRDefault="00787554" w:rsidP="00787554">
      <w:pPr>
        <w:pStyle w:val="Heading2"/>
      </w:pPr>
      <w:bookmarkStart w:id="66" w:name="_Toc300919389"/>
      <w:bookmarkStart w:id="67" w:name="_Toc339380244"/>
      <w:bookmarkStart w:id="68" w:name="_Toc389039466"/>
      <w:bookmarkStart w:id="69" w:name="_Toc390250104"/>
      <w:bookmarkStart w:id="70" w:name="_Toc451530776"/>
      <w:r w:rsidRPr="00F54712">
        <w:t>3.1</w:t>
      </w:r>
      <w:r w:rsidRPr="00F54712">
        <w:tab/>
        <w:t>Definitions</w:t>
      </w:r>
      <w:bookmarkEnd w:id="66"/>
      <w:bookmarkEnd w:id="67"/>
      <w:bookmarkEnd w:id="68"/>
      <w:bookmarkEnd w:id="69"/>
      <w:bookmarkEnd w:id="70"/>
    </w:p>
    <w:p w14:paraId="2F2326D1" w14:textId="3773B206" w:rsidR="00787554" w:rsidRPr="00F54712" w:rsidRDefault="00787554" w:rsidP="00787554">
      <w:r w:rsidRPr="00F54712">
        <w:t>For the purposes of the present document, the following</w:t>
      </w:r>
      <w:r w:rsidR="00617298">
        <w:t xml:space="preserve"> </w:t>
      </w:r>
      <w:r w:rsidRPr="00F54712">
        <w:t>terms and definitions apply</w:t>
      </w:r>
      <w:r w:rsidR="00617298">
        <w:t>.  Reference figure 2, below.</w:t>
      </w:r>
    </w:p>
    <w:p w14:paraId="5741B141" w14:textId="60CB688F" w:rsidR="00182C74" w:rsidRDefault="00182C74">
      <w:r w:rsidRPr="00A60AA1">
        <w:rPr>
          <w:b/>
        </w:rPr>
        <w:t>Campaign</w:t>
      </w:r>
      <w:r>
        <w:t xml:space="preserve">: </w:t>
      </w:r>
      <w:r w:rsidR="00D65EAE">
        <w:t>A</w:t>
      </w:r>
      <w:r w:rsidR="00D65EAE" w:rsidRPr="00D65EAE">
        <w:t xml:space="preserve"> </w:t>
      </w:r>
      <w:r w:rsidR="00617298">
        <w:t xml:space="preserve">STIX Campaign represents a </w:t>
      </w:r>
      <w:r w:rsidR="00D65EAE" w:rsidRPr="00D65EAE">
        <w:t xml:space="preserve">set of TTPs, Incidents, or Threat Actors that together express a </w:t>
      </w:r>
      <w:r w:rsidR="00D65EAE">
        <w:t>common intent or desired effect</w:t>
      </w:r>
      <w:r>
        <w:t>.</w:t>
      </w:r>
      <w:r w:rsidR="004A2737">
        <w:rPr>
          <w:lang w:val="en-US"/>
        </w:rPr>
        <w:t xml:space="preserve"> </w:t>
      </w:r>
      <w:r w:rsidR="00617298">
        <w:rPr>
          <w:lang w:val="en-US"/>
        </w:rPr>
        <w:t>[i.4]</w:t>
      </w:r>
    </w:p>
    <w:p w14:paraId="0E39F58A" w14:textId="50895A22" w:rsidR="00182C74" w:rsidRDefault="00182C74">
      <w:r w:rsidRPr="00A60AA1">
        <w:rPr>
          <w:b/>
        </w:rPr>
        <w:t>Course</w:t>
      </w:r>
      <w:r w:rsidR="00617298">
        <w:rPr>
          <w:b/>
        </w:rPr>
        <w:t xml:space="preserve"> o</w:t>
      </w:r>
      <w:r w:rsidR="00617298" w:rsidRPr="00A60AA1">
        <w:rPr>
          <w:b/>
        </w:rPr>
        <w:t>f</w:t>
      </w:r>
      <w:r w:rsidR="00617298">
        <w:rPr>
          <w:b/>
        </w:rPr>
        <w:t xml:space="preserve"> </w:t>
      </w:r>
      <w:r w:rsidRPr="00A60AA1">
        <w:rPr>
          <w:b/>
        </w:rPr>
        <w:t>Action</w:t>
      </w:r>
      <w:r>
        <w:t xml:space="preserve">: </w:t>
      </w:r>
      <w:r w:rsidR="00617298" w:rsidRPr="00617298">
        <w:t>A STIX Course of Action (COA) is used to convey information about courses of action that may be taken either in response to an attack or as a preventative measure prior to an attack</w:t>
      </w:r>
      <w:r w:rsidR="004A2737">
        <w:t>.</w:t>
      </w:r>
      <w:r w:rsidR="004A2737">
        <w:rPr>
          <w:lang w:val="en-US"/>
        </w:rPr>
        <w:t xml:space="preserve"> </w:t>
      </w:r>
      <w:r w:rsidR="00617298">
        <w:rPr>
          <w:lang w:val="en-US"/>
        </w:rPr>
        <w:t>[i.4]</w:t>
      </w:r>
    </w:p>
    <w:p w14:paraId="2C34DF06" w14:textId="729612B7" w:rsidR="009F7CA8" w:rsidRDefault="009F7CA8">
      <w:r w:rsidRPr="00A60AA1">
        <w:rPr>
          <w:b/>
        </w:rPr>
        <w:t>Exploit</w:t>
      </w:r>
      <w:r w:rsidR="00617298">
        <w:rPr>
          <w:b/>
        </w:rPr>
        <w:t xml:space="preserve"> </w:t>
      </w:r>
      <w:r w:rsidRPr="00A60AA1">
        <w:rPr>
          <w:b/>
        </w:rPr>
        <w:t>Target</w:t>
      </w:r>
      <w:r>
        <w:t xml:space="preserve">: </w:t>
      </w:r>
      <w:r w:rsidR="00617298">
        <w:t>A STIX Exploit Target c</w:t>
      </w:r>
      <w:r w:rsidR="00617298" w:rsidRPr="00617298">
        <w:t>onveys information about a vulnerability, weakness, or misconfiguration in software, systems, networks, or configurations that may be targeted for exploitation by an adversary</w:t>
      </w:r>
      <w:r w:rsidR="004A2737">
        <w:t>.</w:t>
      </w:r>
      <w:r w:rsidR="004A2737">
        <w:rPr>
          <w:lang w:val="en-US"/>
        </w:rPr>
        <w:t xml:space="preserve"> </w:t>
      </w:r>
      <w:r w:rsidR="00617298">
        <w:rPr>
          <w:lang w:val="en-US"/>
        </w:rPr>
        <w:t>[i.4]</w:t>
      </w:r>
    </w:p>
    <w:p w14:paraId="035CC01A" w14:textId="38665ECE" w:rsidR="009F7CA8" w:rsidRDefault="009F7CA8">
      <w:r w:rsidRPr="00A60AA1">
        <w:rPr>
          <w:b/>
        </w:rPr>
        <w:t>Incident</w:t>
      </w:r>
      <w:r>
        <w:t xml:space="preserve">: </w:t>
      </w:r>
      <w:r w:rsidR="00E47EE0" w:rsidRPr="00E47EE0">
        <w:t>A STIX Incident corresponds to sets of related security events affecting an organization, along with information discovered or decided during an incident response investigation</w:t>
      </w:r>
      <w:r w:rsidR="004A2737">
        <w:t>.</w:t>
      </w:r>
      <w:r w:rsidR="004A2737">
        <w:rPr>
          <w:lang w:val="en-US"/>
        </w:rPr>
        <w:t xml:space="preserve"> </w:t>
      </w:r>
      <w:r w:rsidR="00617298">
        <w:rPr>
          <w:lang w:val="en-US"/>
        </w:rPr>
        <w:t>[i.4]</w:t>
      </w:r>
    </w:p>
    <w:p w14:paraId="18424D89" w14:textId="412113D2" w:rsidR="009F7CA8" w:rsidRDefault="009F7CA8">
      <w:r w:rsidRPr="00A60AA1">
        <w:rPr>
          <w:b/>
        </w:rPr>
        <w:t>Indicators</w:t>
      </w:r>
      <w:r>
        <w:t xml:space="preserve">: </w:t>
      </w:r>
      <w:r w:rsidR="00A76A4E" w:rsidRPr="00A76A4E">
        <w:t>The STIX Indicator data model conveys specific Observable patterns combined with contextual information intended to represent artifacts and/or behaviors of interest within a cyber security context</w:t>
      </w:r>
      <w:r w:rsidR="004A2737">
        <w:t>.</w:t>
      </w:r>
      <w:r w:rsidR="004A2737">
        <w:rPr>
          <w:lang w:val="en-US"/>
        </w:rPr>
        <w:t xml:space="preserve"> </w:t>
      </w:r>
      <w:r w:rsidR="00617298">
        <w:rPr>
          <w:lang w:val="en-US"/>
        </w:rPr>
        <w:t>[i.4]</w:t>
      </w:r>
    </w:p>
    <w:p w14:paraId="069FB1C4" w14:textId="5597FBCB" w:rsidR="006D6657" w:rsidRDefault="00E06A24">
      <w:r w:rsidRPr="00A60AA1">
        <w:rPr>
          <w:b/>
        </w:rPr>
        <w:t>Observables</w:t>
      </w:r>
      <w:r>
        <w:t xml:space="preserve">: </w:t>
      </w:r>
      <w:r w:rsidR="006D6657" w:rsidRPr="006D6657">
        <w:t>A STIX Observable represents stateful properties or measurable events pertinent to the opera</w:t>
      </w:r>
      <w:r w:rsidR="006D6657">
        <w:t>tion of computers and networks, and may consist of Observable instances and Observable Patterns.</w:t>
      </w:r>
      <w:r w:rsidR="006D6657" w:rsidRPr="006D6657">
        <w:rPr>
          <w:lang w:val="en-US"/>
        </w:rPr>
        <w:t xml:space="preserve"> </w:t>
      </w:r>
      <w:r w:rsidR="006D6657">
        <w:rPr>
          <w:lang w:val="en-US"/>
        </w:rPr>
        <w:t>[i.4]</w:t>
      </w:r>
    </w:p>
    <w:p w14:paraId="6135BBDB" w14:textId="5E8EFE86" w:rsidR="006D6657" w:rsidRDefault="006D6657">
      <w:r w:rsidRPr="00056A8D">
        <w:rPr>
          <w:b/>
        </w:rPr>
        <w:t>Observable instances</w:t>
      </w:r>
      <w:r>
        <w:rPr>
          <w:b/>
        </w:rPr>
        <w:t xml:space="preserve">: </w:t>
      </w:r>
      <w:r w:rsidRPr="00056A8D">
        <w:t>R</w:t>
      </w:r>
      <w:r w:rsidRPr="006D6657">
        <w:t>epresent actual specific observations that took place in the cyber domain.</w:t>
      </w:r>
      <w:r w:rsidRPr="006D6657" w:rsidDel="006D6657">
        <w:t xml:space="preserve"> </w:t>
      </w:r>
      <w:r>
        <w:rPr>
          <w:lang w:val="en-US"/>
        </w:rPr>
        <w:t>[i.4]</w:t>
      </w:r>
    </w:p>
    <w:p w14:paraId="65734E67" w14:textId="2D39A9D8" w:rsidR="00506A68" w:rsidRDefault="006D6657">
      <w:pPr>
        <w:rPr>
          <w:lang w:val="en-US"/>
        </w:rPr>
      </w:pPr>
      <w:r w:rsidRPr="00056A8D">
        <w:rPr>
          <w:b/>
        </w:rPr>
        <w:t>Observable patterns</w:t>
      </w:r>
      <w:r>
        <w:rPr>
          <w:b/>
        </w:rPr>
        <w:t>:</w:t>
      </w:r>
      <w:r>
        <w:t xml:space="preserve"> R</w:t>
      </w:r>
      <w:r w:rsidRPr="006D6657">
        <w:t xml:space="preserve">epresent conditions for a potential observation that may occur in the future or may have already occurred and exists in a body of observable instances. </w:t>
      </w:r>
      <w:r w:rsidR="00617298">
        <w:rPr>
          <w:lang w:val="en-US"/>
        </w:rPr>
        <w:t>[i.4]</w:t>
      </w:r>
    </w:p>
    <w:p w14:paraId="42A53B10" w14:textId="1835906C" w:rsidR="009F7CA8" w:rsidRDefault="00506A68">
      <w:r w:rsidRPr="00056A8D">
        <w:rPr>
          <w:b/>
          <w:lang w:val="en-US"/>
        </w:rPr>
        <w:t>Report</w:t>
      </w:r>
      <w:r>
        <w:rPr>
          <w:lang w:val="en-US"/>
        </w:rPr>
        <w:t xml:space="preserve">: </w:t>
      </w:r>
      <w:r w:rsidRPr="00506A68">
        <w:rPr>
          <w:lang w:val="en-US"/>
        </w:rPr>
        <w:t>A STIX Report defines a contextual wrapper for a grouping of STIX content, which could include content specified using any of the other eight top-level constructs, or even other related Reports</w:t>
      </w:r>
      <w:r w:rsidR="006D6657">
        <w:rPr>
          <w:lang w:val="en-US"/>
        </w:rPr>
        <w:t>.</w:t>
      </w:r>
      <w:r>
        <w:rPr>
          <w:lang w:val="en-US"/>
        </w:rPr>
        <w:t xml:space="preserve"> [i.4]</w:t>
      </w:r>
      <w:r w:rsidDel="00617298">
        <w:rPr>
          <w:lang w:val="en-US"/>
        </w:rPr>
        <w:t xml:space="preserve"> </w:t>
      </w:r>
    </w:p>
    <w:p w14:paraId="57D7BACA" w14:textId="3EB23DB5" w:rsidR="00E06A24" w:rsidRDefault="00E06A24">
      <w:pPr>
        <w:rPr>
          <w:lang w:val="en-US"/>
        </w:rPr>
      </w:pPr>
      <w:r w:rsidRPr="00A60AA1">
        <w:rPr>
          <w:b/>
        </w:rPr>
        <w:t>Tactics, Techniques and Procedures</w:t>
      </w:r>
      <w:r>
        <w:t xml:space="preserve">: </w:t>
      </w:r>
      <w:r w:rsidR="00617298" w:rsidRPr="00617298">
        <w:t xml:space="preserve">STIX Tactics, Techniques, and Procedures (TTP) </w:t>
      </w:r>
      <w:r w:rsidR="00617298">
        <w:t xml:space="preserve"> are used to</w:t>
      </w:r>
      <w:r w:rsidR="00617298" w:rsidRPr="00DB499D">
        <w:t xml:space="preserve"> represent</w:t>
      </w:r>
      <w:r w:rsidR="00617298">
        <w:t xml:space="preserve"> </w:t>
      </w:r>
      <w:r w:rsidR="00617298" w:rsidRPr="00686BFB">
        <w:t>the behavior or modu</w:t>
      </w:r>
      <w:r w:rsidR="00617298">
        <w:t>s operandi of cyber adversaries</w:t>
      </w:r>
      <w:r w:rsidR="00617298" w:rsidRPr="00E06A24" w:rsidDel="00617298">
        <w:t xml:space="preserve"> </w:t>
      </w:r>
      <w:r w:rsidRPr="00E06A24">
        <w:t>i</w:t>
      </w:r>
      <w:r w:rsidR="004A2737">
        <w:t>.</w:t>
      </w:r>
      <w:r w:rsidR="004A2737">
        <w:rPr>
          <w:lang w:val="en-US"/>
        </w:rPr>
        <w:t xml:space="preserve"> </w:t>
      </w:r>
      <w:r w:rsidR="00617298">
        <w:rPr>
          <w:lang w:val="en-US"/>
        </w:rPr>
        <w:t>[i.4]</w:t>
      </w:r>
    </w:p>
    <w:p w14:paraId="049BE5FA" w14:textId="73264338" w:rsidR="00D65EAE" w:rsidRPr="00182C74" w:rsidRDefault="00D65EAE" w:rsidP="00D65EAE">
      <w:r>
        <w:rPr>
          <w:b/>
          <w:bCs/>
        </w:rPr>
        <w:t>Threat</w:t>
      </w:r>
      <w:r w:rsidR="00617298">
        <w:rPr>
          <w:b/>
          <w:bCs/>
        </w:rPr>
        <w:t xml:space="preserve"> </w:t>
      </w:r>
      <w:r w:rsidRPr="00A60AA1">
        <w:rPr>
          <w:b/>
          <w:bCs/>
        </w:rPr>
        <w:t>Actor</w:t>
      </w:r>
      <w:r w:rsidRPr="00F54712">
        <w:rPr>
          <w:b/>
        </w:rPr>
        <w:t>:</w:t>
      </w:r>
      <w:r w:rsidRPr="00F54712">
        <w:t xml:space="preserve"> </w:t>
      </w:r>
      <w:r w:rsidR="00617298" w:rsidRPr="00617298">
        <w:t xml:space="preserve">A STIX Threat Actor is a </w:t>
      </w:r>
      <w:r w:rsidR="00617298">
        <w:t>c</w:t>
      </w:r>
      <w:r w:rsidRPr="00182C74">
        <w:rPr>
          <w:lang w:val="en-US"/>
        </w:rPr>
        <w:t>haracterization of malicious actor (or adversar</w:t>
      </w:r>
      <w:r>
        <w:rPr>
          <w:lang w:val="en-US"/>
        </w:rPr>
        <w:t>y</w:t>
      </w:r>
      <w:r w:rsidRPr="00182C74">
        <w:rPr>
          <w:lang w:val="en-US"/>
        </w:rPr>
        <w:t xml:space="preserve">) representing a </w:t>
      </w:r>
      <w:r>
        <w:rPr>
          <w:lang w:val="en-US"/>
        </w:rPr>
        <w:t xml:space="preserve">cyber </w:t>
      </w:r>
      <w:r w:rsidRPr="00182C74">
        <w:rPr>
          <w:lang w:val="en-US"/>
        </w:rPr>
        <w:t>attack threat including presumed intent and historically observed behavior</w:t>
      </w:r>
      <w:r>
        <w:rPr>
          <w:lang w:val="en-US"/>
        </w:rPr>
        <w:t xml:space="preserve">. </w:t>
      </w:r>
      <w:r w:rsidR="00617298">
        <w:rPr>
          <w:lang w:val="en-US"/>
        </w:rPr>
        <w:t>[i.4]</w:t>
      </w:r>
    </w:p>
    <w:p w14:paraId="20D75FD1" w14:textId="41D94730" w:rsidR="00AC7216" w:rsidRPr="00F54712" w:rsidRDefault="00AC7216" w:rsidP="00AC7216">
      <w:pPr>
        <w:pStyle w:val="Heading2"/>
      </w:pPr>
      <w:bookmarkStart w:id="71" w:name="_Toc300911785"/>
      <w:bookmarkStart w:id="72" w:name="_Toc339285289"/>
      <w:bookmarkStart w:id="73" w:name="_Toc339285449"/>
      <w:bookmarkStart w:id="74" w:name="_Toc339285834"/>
      <w:bookmarkStart w:id="75" w:name="_Toc388868229"/>
      <w:bookmarkStart w:id="76" w:name="_Toc389039468"/>
      <w:bookmarkStart w:id="77" w:name="_Toc390250106"/>
      <w:bookmarkStart w:id="78" w:name="_Toc451530777"/>
      <w:bookmarkStart w:id="79" w:name="_Toc300919392"/>
      <w:bookmarkStart w:id="80" w:name="_Toc339380247"/>
      <w:r w:rsidRPr="00F54712">
        <w:t>3.</w:t>
      </w:r>
      <w:r w:rsidR="005B49DC">
        <w:t>2</w:t>
      </w:r>
      <w:r w:rsidRPr="00F54712">
        <w:tab/>
        <w:t>Abbreviations</w:t>
      </w:r>
      <w:bookmarkEnd w:id="71"/>
      <w:bookmarkEnd w:id="72"/>
      <w:bookmarkEnd w:id="73"/>
      <w:bookmarkEnd w:id="74"/>
      <w:bookmarkEnd w:id="75"/>
      <w:bookmarkEnd w:id="76"/>
      <w:bookmarkEnd w:id="77"/>
      <w:bookmarkEnd w:id="78"/>
    </w:p>
    <w:p w14:paraId="0183A088" w14:textId="77777777" w:rsidR="00AC7216" w:rsidRPr="00F54712" w:rsidRDefault="00AC7216" w:rsidP="00AC7216">
      <w:pPr>
        <w:keepNext/>
      </w:pPr>
      <w:r w:rsidRPr="00F54712">
        <w:t>For the purposes of the present d</w:t>
      </w:r>
      <w:r w:rsidR="007F716A">
        <w:t xml:space="preserve">ocument, the </w:t>
      </w:r>
      <w:r w:rsidRPr="00F54712">
        <w:t>following abbreviations apply:</w:t>
      </w:r>
    </w:p>
    <w:p w14:paraId="31B23F73" w14:textId="77777777" w:rsidR="0017349C" w:rsidRPr="00E94851" w:rsidRDefault="0017349C" w:rsidP="0017349C">
      <w:pPr>
        <w:pStyle w:val="EW"/>
      </w:pPr>
      <w:r w:rsidRPr="00E94851">
        <w:t>ACDC</w:t>
      </w:r>
      <w:r w:rsidR="00AF7E54" w:rsidRPr="00E94851">
        <w:tab/>
        <w:t>Advanced Cyber Defence Centre</w:t>
      </w:r>
    </w:p>
    <w:p w14:paraId="1E38E18B" w14:textId="77777777" w:rsidR="0017349C" w:rsidRPr="00E94851" w:rsidRDefault="0017349C" w:rsidP="0017349C">
      <w:pPr>
        <w:pStyle w:val="EW"/>
      </w:pPr>
      <w:r w:rsidRPr="00E94851">
        <w:t>API</w:t>
      </w:r>
      <w:r w:rsidR="00AF7E54" w:rsidRPr="00E94851">
        <w:tab/>
        <w:t xml:space="preserve">Application </w:t>
      </w:r>
      <w:r w:rsidR="00AF7E54" w:rsidRPr="00AF7E54">
        <w:t>Programing</w:t>
      </w:r>
      <w:r w:rsidR="00AF7E54" w:rsidRPr="00E94851">
        <w:t xml:space="preserve"> Interface</w:t>
      </w:r>
    </w:p>
    <w:p w14:paraId="07314A68" w14:textId="77777777" w:rsidR="0017349C" w:rsidRPr="00AF7E54" w:rsidRDefault="0017349C" w:rsidP="0017349C">
      <w:pPr>
        <w:pStyle w:val="EW"/>
      </w:pPr>
      <w:r w:rsidRPr="00E94851">
        <w:t>AS</w:t>
      </w:r>
      <w:r w:rsidR="00AF7E54" w:rsidRPr="00E94851">
        <w:tab/>
      </w:r>
      <w:r w:rsidR="00AF7E54" w:rsidRPr="00AF7E54">
        <w:t>Autonomous System</w:t>
      </w:r>
    </w:p>
    <w:p w14:paraId="09003CC2" w14:textId="77777777" w:rsidR="0017349C" w:rsidRPr="00AF7E54" w:rsidRDefault="0017349C" w:rsidP="0017349C">
      <w:pPr>
        <w:pStyle w:val="EW"/>
      </w:pPr>
      <w:r w:rsidRPr="00AF7E54">
        <w:t>CERT</w:t>
      </w:r>
      <w:r w:rsidR="00AF7E54" w:rsidRPr="00AF7E54">
        <w:tab/>
        <w:t>Computer Emergency Response Team</w:t>
      </w:r>
    </w:p>
    <w:p w14:paraId="69278673" w14:textId="77777777" w:rsidR="0017349C" w:rsidRPr="00AF7E54" w:rsidRDefault="0017349C" w:rsidP="0017349C">
      <w:pPr>
        <w:pStyle w:val="EW"/>
      </w:pPr>
      <w:r w:rsidRPr="00AF7E54">
        <w:t>CIF</w:t>
      </w:r>
      <w:r w:rsidR="00AF7E54" w:rsidRPr="00AF7E54">
        <w:tab/>
        <w:t>Collection Intelligence Framework</w:t>
      </w:r>
    </w:p>
    <w:p w14:paraId="61840CFD" w14:textId="5D1AC329" w:rsidR="00673561" w:rsidRDefault="00673561" w:rsidP="0017349C">
      <w:pPr>
        <w:pStyle w:val="EW"/>
      </w:pPr>
      <w:r w:rsidRPr="00673561">
        <w:t>COBIT</w:t>
      </w:r>
      <w:r>
        <w:tab/>
      </w:r>
      <w:r w:rsidRPr="00673561">
        <w:t>Control OBjectives for Information and related Technology</w:t>
      </w:r>
    </w:p>
    <w:p w14:paraId="2C5DD32A" w14:textId="77777777" w:rsidR="0017349C" w:rsidRPr="00AF7E54" w:rsidRDefault="0017349C" w:rsidP="0017349C">
      <w:pPr>
        <w:pStyle w:val="EW"/>
      </w:pPr>
      <w:r w:rsidRPr="00AF7E54">
        <w:t>CSIRT</w:t>
      </w:r>
      <w:r w:rsidR="00AF7E54" w:rsidRPr="00AF7E54">
        <w:tab/>
        <w:t>Computer Security Incidence Re</w:t>
      </w:r>
      <w:r w:rsidR="00AF7E54">
        <w:t>sponse</w:t>
      </w:r>
      <w:r w:rsidR="00AF7E54" w:rsidRPr="00AF7E54">
        <w:t xml:space="preserve"> Team</w:t>
      </w:r>
    </w:p>
    <w:p w14:paraId="267ACB46" w14:textId="77777777" w:rsidR="0017349C" w:rsidRPr="0017349C" w:rsidRDefault="0017349C" w:rsidP="0017349C">
      <w:pPr>
        <w:pStyle w:val="EW"/>
        <w:rPr>
          <w:lang w:val="fr-FR"/>
        </w:rPr>
      </w:pPr>
      <w:r w:rsidRPr="0017349C">
        <w:rPr>
          <w:lang w:val="fr-FR"/>
        </w:rPr>
        <w:t>CTI</w:t>
      </w:r>
      <w:r w:rsidR="00AF7E54">
        <w:rPr>
          <w:lang w:val="fr-FR"/>
        </w:rPr>
        <w:tab/>
        <w:t>Cyber Threat Intelligence</w:t>
      </w:r>
    </w:p>
    <w:p w14:paraId="4FD50E2D" w14:textId="77777777" w:rsidR="0017349C" w:rsidRPr="0017349C" w:rsidRDefault="0017349C" w:rsidP="0017349C">
      <w:pPr>
        <w:pStyle w:val="EW"/>
        <w:rPr>
          <w:lang w:val="fr-FR"/>
        </w:rPr>
      </w:pPr>
      <w:r w:rsidRPr="0017349C">
        <w:rPr>
          <w:lang w:val="fr-FR"/>
        </w:rPr>
        <w:t>CYBEX</w:t>
      </w:r>
      <w:r w:rsidR="00DF4D7B">
        <w:rPr>
          <w:lang w:val="fr-FR"/>
        </w:rPr>
        <w:tab/>
      </w:r>
      <w:r w:rsidR="00DF4D7B" w:rsidRPr="00DF4D7B">
        <w:rPr>
          <w:lang w:val="fr-FR"/>
        </w:rPr>
        <w:t>Cybersecurity Information Exchange</w:t>
      </w:r>
    </w:p>
    <w:p w14:paraId="3B8DB4B5" w14:textId="77FA4FCD" w:rsidR="00AC7216" w:rsidRPr="0017349C" w:rsidRDefault="00182C74" w:rsidP="0017349C">
      <w:pPr>
        <w:pStyle w:val="EW"/>
        <w:rPr>
          <w:bCs/>
          <w:lang w:val="fr-FR"/>
        </w:rPr>
      </w:pPr>
      <w:r w:rsidRPr="0017349C">
        <w:rPr>
          <w:lang w:val="fr-FR"/>
        </w:rPr>
        <w:lastRenderedPageBreak/>
        <w:t>CybOX</w:t>
      </w:r>
      <w:r w:rsidR="00694A1A">
        <w:rPr>
          <w:lang w:val="fr-FR"/>
        </w:rPr>
        <w:t>™</w:t>
      </w:r>
      <w:r w:rsidR="001702CA" w:rsidRPr="0017349C">
        <w:rPr>
          <w:lang w:val="fr-FR"/>
        </w:rPr>
        <w:tab/>
      </w:r>
      <w:r w:rsidRPr="0017349C">
        <w:rPr>
          <w:bCs/>
          <w:lang w:val="fr-FR"/>
        </w:rPr>
        <w:t>Cyber Observable Expression</w:t>
      </w:r>
    </w:p>
    <w:p w14:paraId="465A4DDC" w14:textId="77777777" w:rsidR="00AD5040" w:rsidRDefault="00AD5040" w:rsidP="00AC7216">
      <w:pPr>
        <w:pStyle w:val="EW"/>
        <w:rPr>
          <w:bCs/>
        </w:rPr>
      </w:pPr>
      <w:r>
        <w:rPr>
          <w:bCs/>
        </w:rPr>
        <w:t>CPNI</w:t>
      </w:r>
      <w:r>
        <w:rPr>
          <w:bCs/>
        </w:rPr>
        <w:tab/>
      </w:r>
      <w:r w:rsidRPr="00AD5040">
        <w:rPr>
          <w:bCs/>
        </w:rPr>
        <w:t>Centre for the Protection of National Infrastructure</w:t>
      </w:r>
    </w:p>
    <w:p w14:paraId="1169BD0D" w14:textId="77777777" w:rsidR="0017349C" w:rsidRDefault="0017349C" w:rsidP="00AC7216">
      <w:pPr>
        <w:pStyle w:val="EW"/>
        <w:rPr>
          <w:bCs/>
        </w:rPr>
      </w:pPr>
      <w:r w:rsidRPr="0017349C">
        <w:rPr>
          <w:bCs/>
        </w:rPr>
        <w:t>DoS</w:t>
      </w:r>
      <w:r w:rsidR="00DF4D7B">
        <w:rPr>
          <w:bCs/>
        </w:rPr>
        <w:tab/>
        <w:t>Denial of Service</w:t>
      </w:r>
    </w:p>
    <w:p w14:paraId="2086642E" w14:textId="77777777" w:rsidR="001A51CA" w:rsidRDefault="001A51CA" w:rsidP="00AC7216">
      <w:pPr>
        <w:pStyle w:val="EW"/>
        <w:rPr>
          <w:bCs/>
        </w:rPr>
      </w:pPr>
      <w:r>
        <w:rPr>
          <w:bCs/>
        </w:rPr>
        <w:t>DTCC</w:t>
      </w:r>
      <w:r>
        <w:rPr>
          <w:bCs/>
        </w:rPr>
        <w:tab/>
      </w:r>
      <w:r w:rsidRPr="001A51CA">
        <w:rPr>
          <w:bCs/>
        </w:rPr>
        <w:t>Depository Trust &amp; Clearing Corporation</w:t>
      </w:r>
    </w:p>
    <w:p w14:paraId="5EBE04FD" w14:textId="77777777" w:rsidR="0017349C" w:rsidRPr="0017349C" w:rsidRDefault="0017349C" w:rsidP="0017349C">
      <w:pPr>
        <w:pStyle w:val="EW"/>
        <w:rPr>
          <w:bCs/>
        </w:rPr>
      </w:pPr>
      <w:r w:rsidRPr="0017349C">
        <w:rPr>
          <w:bCs/>
        </w:rPr>
        <w:t>ENISA</w:t>
      </w:r>
      <w:r w:rsidR="00DF4D7B">
        <w:rPr>
          <w:bCs/>
        </w:rPr>
        <w:tab/>
      </w:r>
      <w:r w:rsidR="00DF4D7B" w:rsidRPr="00DF4D7B">
        <w:rPr>
          <w:bCs/>
        </w:rPr>
        <w:t>European Union Agency for Network and Information Security</w:t>
      </w:r>
    </w:p>
    <w:p w14:paraId="3AD2344E" w14:textId="77777777" w:rsidR="0017349C" w:rsidRPr="0017349C" w:rsidRDefault="0017349C" w:rsidP="0017349C">
      <w:pPr>
        <w:pStyle w:val="EW"/>
        <w:rPr>
          <w:bCs/>
        </w:rPr>
      </w:pPr>
      <w:r w:rsidRPr="0017349C">
        <w:rPr>
          <w:bCs/>
        </w:rPr>
        <w:t>EPC</w:t>
      </w:r>
      <w:r w:rsidR="002301BE">
        <w:rPr>
          <w:bCs/>
        </w:rPr>
        <w:tab/>
      </w:r>
      <w:r w:rsidR="002301BE" w:rsidRPr="002301BE">
        <w:rPr>
          <w:bCs/>
        </w:rPr>
        <w:t>Evolved Packet Core</w:t>
      </w:r>
    </w:p>
    <w:p w14:paraId="2D2D585F" w14:textId="77777777" w:rsidR="0017349C" w:rsidRDefault="0017349C" w:rsidP="00AC7216">
      <w:pPr>
        <w:pStyle w:val="EW"/>
        <w:rPr>
          <w:bCs/>
        </w:rPr>
      </w:pPr>
      <w:r w:rsidRPr="0017349C">
        <w:rPr>
          <w:bCs/>
        </w:rPr>
        <w:t>EU</w:t>
      </w:r>
      <w:r w:rsidR="002301BE">
        <w:rPr>
          <w:bCs/>
        </w:rPr>
        <w:tab/>
        <w:t>European Union</w:t>
      </w:r>
    </w:p>
    <w:p w14:paraId="3FA40BA7" w14:textId="77777777" w:rsidR="00754548" w:rsidRPr="00AE7242" w:rsidRDefault="00754548" w:rsidP="00AC7216">
      <w:pPr>
        <w:pStyle w:val="EW"/>
      </w:pPr>
      <w:r>
        <w:rPr>
          <w:bCs/>
        </w:rPr>
        <w:t>FIRST</w:t>
      </w:r>
      <w:r>
        <w:rPr>
          <w:bCs/>
        </w:rPr>
        <w:tab/>
      </w:r>
      <w:r w:rsidR="00DB7018" w:rsidRPr="00DB7018">
        <w:rPr>
          <w:bCs/>
        </w:rPr>
        <w:t>Forum of Incident Response and Security Teams</w:t>
      </w:r>
    </w:p>
    <w:p w14:paraId="135FE907" w14:textId="77777777" w:rsidR="001A51CA" w:rsidRDefault="001A51CA" w:rsidP="00AC7216">
      <w:pPr>
        <w:pStyle w:val="EW"/>
        <w:rPr>
          <w:bCs/>
        </w:rPr>
      </w:pPr>
      <w:r>
        <w:rPr>
          <w:bCs/>
        </w:rPr>
        <w:t>FS-ISAC</w:t>
      </w:r>
      <w:r>
        <w:rPr>
          <w:bCs/>
        </w:rPr>
        <w:tab/>
        <w:t>Financial Services ISAC</w:t>
      </w:r>
    </w:p>
    <w:p w14:paraId="617B5F79" w14:textId="77777777" w:rsidR="0017349C" w:rsidRPr="0017349C" w:rsidRDefault="0017349C" w:rsidP="0017349C">
      <w:pPr>
        <w:pStyle w:val="EW"/>
        <w:rPr>
          <w:bCs/>
        </w:rPr>
      </w:pPr>
      <w:r w:rsidRPr="0017349C">
        <w:rPr>
          <w:bCs/>
        </w:rPr>
        <w:t>IANA</w:t>
      </w:r>
      <w:r w:rsidR="002301BE">
        <w:rPr>
          <w:bCs/>
        </w:rPr>
        <w:tab/>
        <w:t>Internet Assigned Numbers Authority</w:t>
      </w:r>
    </w:p>
    <w:p w14:paraId="550A8C0F" w14:textId="77777777" w:rsidR="0017349C" w:rsidRPr="0017349C" w:rsidRDefault="0017349C" w:rsidP="0017349C">
      <w:pPr>
        <w:pStyle w:val="EW"/>
        <w:rPr>
          <w:bCs/>
        </w:rPr>
      </w:pPr>
      <w:r w:rsidRPr="0017349C">
        <w:rPr>
          <w:bCs/>
        </w:rPr>
        <w:t>IDS</w:t>
      </w:r>
      <w:r w:rsidR="002301BE">
        <w:rPr>
          <w:bCs/>
        </w:rPr>
        <w:tab/>
        <w:t>Identification Detection System</w:t>
      </w:r>
    </w:p>
    <w:p w14:paraId="10ABF2E5" w14:textId="77777777" w:rsidR="0017349C" w:rsidRPr="0017349C" w:rsidRDefault="0017349C" w:rsidP="0017349C">
      <w:pPr>
        <w:pStyle w:val="EW"/>
        <w:rPr>
          <w:bCs/>
        </w:rPr>
      </w:pPr>
      <w:r w:rsidRPr="0017349C">
        <w:rPr>
          <w:bCs/>
        </w:rPr>
        <w:t>IETF</w:t>
      </w:r>
      <w:r w:rsidR="002301BE">
        <w:rPr>
          <w:bCs/>
        </w:rPr>
        <w:tab/>
        <w:t>Internet Engineering Task Force</w:t>
      </w:r>
    </w:p>
    <w:p w14:paraId="2F91EDB2" w14:textId="77777777" w:rsidR="0017349C" w:rsidRPr="0017349C" w:rsidRDefault="0017349C" w:rsidP="0017349C">
      <w:pPr>
        <w:pStyle w:val="EW"/>
        <w:rPr>
          <w:bCs/>
        </w:rPr>
      </w:pPr>
      <w:r w:rsidRPr="0017349C">
        <w:rPr>
          <w:bCs/>
        </w:rPr>
        <w:t>INCH</w:t>
      </w:r>
      <w:r w:rsidR="002301BE">
        <w:rPr>
          <w:bCs/>
        </w:rPr>
        <w:tab/>
        <w:t>INCident Handling</w:t>
      </w:r>
    </w:p>
    <w:p w14:paraId="0C58897A" w14:textId="77777777" w:rsidR="0017349C" w:rsidRPr="0017349C" w:rsidRDefault="0017349C" w:rsidP="0017349C">
      <w:pPr>
        <w:pStyle w:val="EW"/>
        <w:rPr>
          <w:bCs/>
        </w:rPr>
      </w:pPr>
      <w:r w:rsidRPr="0017349C">
        <w:rPr>
          <w:bCs/>
        </w:rPr>
        <w:t>IODEF</w:t>
      </w:r>
      <w:r w:rsidR="002301BE">
        <w:rPr>
          <w:bCs/>
        </w:rPr>
        <w:tab/>
      </w:r>
      <w:r w:rsidR="002301BE" w:rsidRPr="002301BE">
        <w:rPr>
          <w:bCs/>
        </w:rPr>
        <w:t>Incident Object Description Exchange Format</w:t>
      </w:r>
    </w:p>
    <w:p w14:paraId="3B9ECF8F" w14:textId="77777777" w:rsidR="0017349C" w:rsidRDefault="0017349C" w:rsidP="0017349C">
      <w:pPr>
        <w:pStyle w:val="EW"/>
        <w:rPr>
          <w:bCs/>
        </w:rPr>
      </w:pPr>
      <w:r w:rsidRPr="0017349C">
        <w:rPr>
          <w:bCs/>
        </w:rPr>
        <w:t>IP</w:t>
      </w:r>
      <w:r w:rsidR="002301BE">
        <w:rPr>
          <w:bCs/>
        </w:rPr>
        <w:tab/>
        <w:t>Internet Protocol</w:t>
      </w:r>
      <w:r w:rsidR="002301BE">
        <w:rPr>
          <w:bCs/>
        </w:rPr>
        <w:tab/>
      </w:r>
    </w:p>
    <w:p w14:paraId="568D6A4E" w14:textId="77777777" w:rsidR="0050505E" w:rsidRDefault="0050505E" w:rsidP="0017349C">
      <w:pPr>
        <w:pStyle w:val="EW"/>
        <w:rPr>
          <w:bCs/>
        </w:rPr>
      </w:pPr>
      <w:r>
        <w:rPr>
          <w:bCs/>
        </w:rPr>
        <w:t>ISAC</w:t>
      </w:r>
      <w:r>
        <w:rPr>
          <w:bCs/>
        </w:rPr>
        <w:tab/>
      </w:r>
      <w:r w:rsidRPr="0050505E">
        <w:rPr>
          <w:bCs/>
        </w:rPr>
        <w:t xml:space="preserve">Information Sharing and Analysis </w:t>
      </w:r>
      <w:r>
        <w:rPr>
          <w:bCs/>
        </w:rPr>
        <w:t>Center</w:t>
      </w:r>
    </w:p>
    <w:p w14:paraId="66BDDEDF" w14:textId="0906A77B" w:rsidR="00673561" w:rsidRDefault="00673561" w:rsidP="0017349C">
      <w:pPr>
        <w:pStyle w:val="EW"/>
        <w:rPr>
          <w:bCs/>
        </w:rPr>
      </w:pPr>
      <w:r>
        <w:rPr>
          <w:bCs/>
        </w:rPr>
        <w:t>ISACA</w:t>
      </w:r>
      <w:r>
        <w:rPr>
          <w:bCs/>
        </w:rPr>
        <w:tab/>
      </w:r>
      <w:r w:rsidRPr="00673561">
        <w:rPr>
          <w:bCs/>
        </w:rPr>
        <w:t>Information Systems Audit and Control Associatio</w:t>
      </w:r>
      <w:r>
        <w:rPr>
          <w:bCs/>
        </w:rPr>
        <w:t>n</w:t>
      </w:r>
    </w:p>
    <w:p w14:paraId="0A340583" w14:textId="77777777" w:rsidR="0050505E" w:rsidRDefault="0050505E" w:rsidP="00AC7216">
      <w:pPr>
        <w:pStyle w:val="EW"/>
        <w:rPr>
          <w:bCs/>
        </w:rPr>
      </w:pPr>
      <w:r>
        <w:rPr>
          <w:bCs/>
        </w:rPr>
        <w:t>ISAO</w:t>
      </w:r>
      <w:r>
        <w:rPr>
          <w:bCs/>
        </w:rPr>
        <w:tab/>
      </w:r>
      <w:r w:rsidRPr="0050505E">
        <w:rPr>
          <w:bCs/>
        </w:rPr>
        <w:t>Information Sharing and Analysis Organization</w:t>
      </w:r>
    </w:p>
    <w:p w14:paraId="2221E72C" w14:textId="09AE3CD5" w:rsidR="006E42DB" w:rsidRDefault="006E42DB" w:rsidP="00AC7216">
      <w:pPr>
        <w:pStyle w:val="EW"/>
        <w:rPr>
          <w:bCs/>
        </w:rPr>
      </w:pPr>
      <w:r>
        <w:rPr>
          <w:bCs/>
        </w:rPr>
        <w:t>ISG</w:t>
      </w:r>
      <w:r>
        <w:rPr>
          <w:bCs/>
        </w:rPr>
        <w:tab/>
        <w:t>Industry Specification Group</w:t>
      </w:r>
    </w:p>
    <w:p w14:paraId="35BF704C" w14:textId="0C43DA7F" w:rsidR="006E42DB" w:rsidRDefault="006E42DB">
      <w:pPr>
        <w:pStyle w:val="EW"/>
        <w:rPr>
          <w:bCs/>
        </w:rPr>
      </w:pPr>
      <w:r>
        <w:rPr>
          <w:bCs/>
        </w:rPr>
        <w:t>ISI</w:t>
      </w:r>
      <w:r>
        <w:rPr>
          <w:bCs/>
        </w:rPr>
        <w:tab/>
        <w:t>Information Security Indicators</w:t>
      </w:r>
    </w:p>
    <w:p w14:paraId="08C41788" w14:textId="77777777" w:rsidR="0017349C" w:rsidRPr="00E94851" w:rsidRDefault="0017349C" w:rsidP="0017349C">
      <w:pPr>
        <w:pStyle w:val="EW"/>
        <w:rPr>
          <w:bCs/>
        </w:rPr>
      </w:pPr>
      <w:r w:rsidRPr="00E94851">
        <w:rPr>
          <w:bCs/>
        </w:rPr>
        <w:t>IT</w:t>
      </w:r>
      <w:r w:rsidR="002301BE" w:rsidRPr="00E94851">
        <w:rPr>
          <w:bCs/>
        </w:rPr>
        <w:tab/>
        <w:t>Information Technology</w:t>
      </w:r>
    </w:p>
    <w:p w14:paraId="65C784EF" w14:textId="77777777" w:rsidR="0017349C" w:rsidRPr="00E94851" w:rsidRDefault="0017349C" w:rsidP="0017349C">
      <w:pPr>
        <w:pStyle w:val="EW"/>
        <w:rPr>
          <w:bCs/>
        </w:rPr>
      </w:pPr>
      <w:r w:rsidRPr="00E94851">
        <w:rPr>
          <w:bCs/>
        </w:rPr>
        <w:t>ITU-T</w:t>
      </w:r>
      <w:r w:rsidR="002301BE" w:rsidRPr="00E94851">
        <w:rPr>
          <w:bCs/>
        </w:rPr>
        <w:tab/>
        <w:t>International Telecommunication Union Telecommunication Standardization</w:t>
      </w:r>
    </w:p>
    <w:p w14:paraId="3243BE6F" w14:textId="77777777" w:rsidR="0017349C" w:rsidRPr="00E94851" w:rsidRDefault="0017349C" w:rsidP="0017349C">
      <w:pPr>
        <w:pStyle w:val="EW"/>
        <w:rPr>
          <w:bCs/>
        </w:rPr>
      </w:pPr>
      <w:r w:rsidRPr="00E94851">
        <w:rPr>
          <w:bCs/>
        </w:rPr>
        <w:t>JSON</w:t>
      </w:r>
      <w:r w:rsidR="002301BE" w:rsidRPr="00E94851">
        <w:rPr>
          <w:bCs/>
        </w:rPr>
        <w:tab/>
        <w:t>JavaScript Object Notation</w:t>
      </w:r>
    </w:p>
    <w:p w14:paraId="6BED7A98" w14:textId="77777777" w:rsidR="0017349C" w:rsidRPr="00E94851" w:rsidRDefault="0017349C" w:rsidP="0017349C">
      <w:pPr>
        <w:pStyle w:val="EW"/>
        <w:rPr>
          <w:bCs/>
        </w:rPr>
      </w:pPr>
      <w:r w:rsidRPr="00E94851">
        <w:rPr>
          <w:bCs/>
        </w:rPr>
        <w:t>LI/RD</w:t>
      </w:r>
      <w:r w:rsidR="000F64D7" w:rsidRPr="00E94851">
        <w:rPr>
          <w:bCs/>
        </w:rPr>
        <w:tab/>
        <w:t>Lawful Interception/Retained Data</w:t>
      </w:r>
    </w:p>
    <w:p w14:paraId="108503FF" w14:textId="58D475B7" w:rsidR="00F5552A" w:rsidRDefault="00F5552A" w:rsidP="0017349C">
      <w:pPr>
        <w:pStyle w:val="EW"/>
        <w:rPr>
          <w:bCs/>
        </w:rPr>
      </w:pPr>
      <w:r>
        <w:rPr>
          <w:bCs/>
        </w:rPr>
        <w:t>MAEC</w:t>
      </w:r>
      <w:r w:rsidR="00694A1A">
        <w:rPr>
          <w:bCs/>
        </w:rPr>
        <w:t>™</w:t>
      </w:r>
      <w:r>
        <w:rPr>
          <w:bCs/>
        </w:rPr>
        <w:tab/>
      </w:r>
      <w:r w:rsidRPr="00F5552A">
        <w:rPr>
          <w:bCs/>
        </w:rPr>
        <w:t>Malware attribute enumeration and characterization</w:t>
      </w:r>
    </w:p>
    <w:p w14:paraId="59F6FAF8" w14:textId="77777777" w:rsidR="0017349C" w:rsidRPr="0017349C" w:rsidRDefault="0017349C" w:rsidP="0017349C">
      <w:pPr>
        <w:pStyle w:val="EW"/>
        <w:rPr>
          <w:bCs/>
        </w:rPr>
      </w:pPr>
      <w:r w:rsidRPr="0017349C">
        <w:rPr>
          <w:bCs/>
        </w:rPr>
        <w:t>MILE</w:t>
      </w:r>
      <w:r w:rsidR="000F64D7">
        <w:rPr>
          <w:bCs/>
        </w:rPr>
        <w:tab/>
      </w:r>
      <w:r w:rsidR="000F64D7" w:rsidRPr="000F64D7">
        <w:rPr>
          <w:bCs/>
        </w:rPr>
        <w:t>Managed Incident Lightweight Exchange</w:t>
      </w:r>
    </w:p>
    <w:p w14:paraId="7306D1CF" w14:textId="77777777" w:rsidR="0017349C" w:rsidRPr="0017349C" w:rsidRDefault="0017349C" w:rsidP="0017349C">
      <w:pPr>
        <w:pStyle w:val="EW"/>
        <w:rPr>
          <w:bCs/>
        </w:rPr>
      </w:pPr>
      <w:r w:rsidRPr="0017349C">
        <w:rPr>
          <w:bCs/>
        </w:rPr>
        <w:t>MVP</w:t>
      </w:r>
      <w:r w:rsidR="000F64D7">
        <w:rPr>
          <w:bCs/>
        </w:rPr>
        <w:tab/>
      </w:r>
      <w:r w:rsidR="000F64D7">
        <w:t>Minimally-Viable Product</w:t>
      </w:r>
    </w:p>
    <w:p w14:paraId="67ABEA9B" w14:textId="77777777" w:rsidR="0017349C" w:rsidRPr="0017349C" w:rsidRDefault="0017349C" w:rsidP="0017349C">
      <w:pPr>
        <w:pStyle w:val="EW"/>
        <w:rPr>
          <w:bCs/>
        </w:rPr>
      </w:pPr>
      <w:r w:rsidRPr="0017349C">
        <w:rPr>
          <w:bCs/>
        </w:rPr>
        <w:t>NFV</w:t>
      </w:r>
      <w:r w:rsidR="000F64D7">
        <w:rPr>
          <w:bCs/>
        </w:rPr>
        <w:tab/>
        <w:t>Network Functions Virtualisation</w:t>
      </w:r>
    </w:p>
    <w:p w14:paraId="4954389D" w14:textId="77777777" w:rsidR="0017349C" w:rsidRPr="0017349C" w:rsidRDefault="0017349C" w:rsidP="0017349C">
      <w:pPr>
        <w:pStyle w:val="EW"/>
        <w:rPr>
          <w:bCs/>
        </w:rPr>
      </w:pPr>
      <w:r w:rsidRPr="0017349C">
        <w:rPr>
          <w:bCs/>
        </w:rPr>
        <w:t>NIS</w:t>
      </w:r>
      <w:r w:rsidR="000F64D7">
        <w:rPr>
          <w:bCs/>
        </w:rPr>
        <w:tab/>
        <w:t>Network and Information Security</w:t>
      </w:r>
    </w:p>
    <w:p w14:paraId="3F0CC5FD" w14:textId="77777777" w:rsidR="0017349C" w:rsidRDefault="0017349C" w:rsidP="0017349C">
      <w:pPr>
        <w:pStyle w:val="EW"/>
        <w:rPr>
          <w:bCs/>
        </w:rPr>
      </w:pPr>
      <w:r w:rsidRPr="0017349C">
        <w:rPr>
          <w:bCs/>
        </w:rPr>
        <w:t>NREN</w:t>
      </w:r>
      <w:r w:rsidR="000F64D7">
        <w:rPr>
          <w:bCs/>
        </w:rPr>
        <w:tab/>
        <w:t>National</w:t>
      </w:r>
      <w:r w:rsidR="007F5499">
        <w:rPr>
          <w:bCs/>
        </w:rPr>
        <w:t xml:space="preserve"> Research and Education Network</w:t>
      </w:r>
    </w:p>
    <w:p w14:paraId="6814446A" w14:textId="77777777" w:rsidR="002E7202" w:rsidRDefault="002E7202" w:rsidP="0017349C">
      <w:pPr>
        <w:pStyle w:val="EW"/>
        <w:rPr>
          <w:bCs/>
        </w:rPr>
      </w:pPr>
      <w:r>
        <w:rPr>
          <w:bCs/>
        </w:rPr>
        <w:t>OMG</w:t>
      </w:r>
      <w:r>
        <w:rPr>
          <w:bCs/>
        </w:rPr>
        <w:tab/>
        <w:t>Object Management Group</w:t>
      </w:r>
    </w:p>
    <w:p w14:paraId="6C91779D" w14:textId="77777777" w:rsidR="0017349C" w:rsidRDefault="0017349C" w:rsidP="00AC7216">
      <w:pPr>
        <w:pStyle w:val="EW"/>
        <w:rPr>
          <w:bCs/>
        </w:rPr>
      </w:pPr>
      <w:r w:rsidRPr="0017349C">
        <w:rPr>
          <w:bCs/>
        </w:rPr>
        <w:t>OTX</w:t>
      </w:r>
      <w:r w:rsidR="000F64D7">
        <w:rPr>
          <w:bCs/>
        </w:rPr>
        <w:tab/>
        <w:t>Open Threat eXchange</w:t>
      </w:r>
    </w:p>
    <w:p w14:paraId="23A6AB76" w14:textId="77777777" w:rsidR="0017349C" w:rsidRDefault="0017349C" w:rsidP="00AC7216">
      <w:pPr>
        <w:pStyle w:val="EW"/>
        <w:rPr>
          <w:bCs/>
        </w:rPr>
      </w:pPr>
      <w:r w:rsidRPr="0017349C">
        <w:rPr>
          <w:bCs/>
        </w:rPr>
        <w:t>RID</w:t>
      </w:r>
      <w:r w:rsidR="002301BE">
        <w:rPr>
          <w:bCs/>
        </w:rPr>
        <w:tab/>
      </w:r>
      <w:r w:rsidR="002301BE" w:rsidRPr="002301BE">
        <w:rPr>
          <w:bCs/>
        </w:rPr>
        <w:t>Real-time Inter-network Defense</w:t>
      </w:r>
    </w:p>
    <w:p w14:paraId="4C0C9739" w14:textId="77777777" w:rsidR="0017349C" w:rsidRDefault="0017349C" w:rsidP="00AC7216">
      <w:pPr>
        <w:pStyle w:val="EW"/>
        <w:rPr>
          <w:bCs/>
        </w:rPr>
      </w:pPr>
      <w:r w:rsidRPr="0017349C">
        <w:rPr>
          <w:bCs/>
        </w:rPr>
        <w:t>SIEM</w:t>
      </w:r>
      <w:r w:rsidR="00060C8D">
        <w:rPr>
          <w:bCs/>
        </w:rPr>
        <w:tab/>
      </w:r>
      <w:r w:rsidR="00060C8D" w:rsidRPr="00060C8D">
        <w:rPr>
          <w:bCs/>
        </w:rPr>
        <w:t xml:space="preserve">Security </w:t>
      </w:r>
      <w:r w:rsidR="00060C8D">
        <w:rPr>
          <w:bCs/>
        </w:rPr>
        <w:t>I</w:t>
      </w:r>
      <w:r w:rsidR="00060C8D" w:rsidRPr="00060C8D">
        <w:rPr>
          <w:bCs/>
        </w:rPr>
        <w:t xml:space="preserve">nformation and </w:t>
      </w:r>
      <w:r w:rsidR="00060C8D">
        <w:rPr>
          <w:bCs/>
        </w:rPr>
        <w:t>E</w:t>
      </w:r>
      <w:r w:rsidR="00060C8D" w:rsidRPr="00060C8D">
        <w:rPr>
          <w:bCs/>
        </w:rPr>
        <w:t xml:space="preserve">vent </w:t>
      </w:r>
      <w:r w:rsidR="00060C8D">
        <w:rPr>
          <w:bCs/>
        </w:rPr>
        <w:t>M</w:t>
      </w:r>
      <w:r w:rsidR="00060C8D" w:rsidRPr="00060C8D">
        <w:rPr>
          <w:bCs/>
        </w:rPr>
        <w:t>anagement</w:t>
      </w:r>
    </w:p>
    <w:p w14:paraId="1A1238E1" w14:textId="11FED33C" w:rsidR="00AC7216" w:rsidRPr="006F4CF0" w:rsidRDefault="00182C74" w:rsidP="00AC7216">
      <w:pPr>
        <w:pStyle w:val="EW"/>
      </w:pPr>
      <w:r w:rsidRPr="006F4CF0">
        <w:rPr>
          <w:bCs/>
        </w:rPr>
        <w:t>STIX</w:t>
      </w:r>
      <w:r w:rsidR="00694A1A">
        <w:rPr>
          <w:bCs/>
        </w:rPr>
        <w:t>™</w:t>
      </w:r>
      <w:r w:rsidR="001702CA" w:rsidRPr="006F4CF0">
        <w:tab/>
      </w:r>
      <w:r w:rsidRPr="006F4CF0">
        <w:rPr>
          <w:bCs/>
          <w:lang w:val="en-US"/>
        </w:rPr>
        <w:t>Structured Threat Information Expression</w:t>
      </w:r>
    </w:p>
    <w:p w14:paraId="481CDB0B" w14:textId="69B4CC43" w:rsidR="00E06A24" w:rsidRDefault="00182C74" w:rsidP="006F4CF0">
      <w:pPr>
        <w:pStyle w:val="EX"/>
        <w:spacing w:after="0"/>
        <w:ind w:left="1699" w:hanging="1411"/>
      </w:pPr>
      <w:r w:rsidRPr="006F4CF0">
        <w:rPr>
          <w:bCs/>
          <w:lang w:val="en-US"/>
        </w:rPr>
        <w:t>TAXI</w:t>
      </w:r>
      <w:r w:rsidR="003721D2">
        <w:rPr>
          <w:bCs/>
          <w:lang w:val="en-US"/>
        </w:rPr>
        <w:t>I</w:t>
      </w:r>
      <w:r w:rsidR="00694A1A">
        <w:rPr>
          <w:bCs/>
          <w:lang w:val="en-US"/>
        </w:rPr>
        <w:t>™</w:t>
      </w:r>
      <w:r w:rsidR="001702CA">
        <w:tab/>
      </w:r>
      <w:r w:rsidRPr="00182C74">
        <w:t>Trusted Automated Exchange of Indicator Information</w:t>
      </w:r>
    </w:p>
    <w:p w14:paraId="160BFD88" w14:textId="77777777" w:rsidR="0017349C" w:rsidRDefault="0017349C" w:rsidP="0017349C">
      <w:pPr>
        <w:pStyle w:val="EX"/>
        <w:spacing w:after="0"/>
        <w:ind w:left="1699" w:hanging="1411"/>
      </w:pPr>
      <w:r w:rsidRPr="0017349C">
        <w:t>TTP</w:t>
      </w:r>
      <w:r w:rsidRPr="0017349C">
        <w:tab/>
        <w:t>Tactics, Techniques and Procedures</w:t>
      </w:r>
    </w:p>
    <w:p w14:paraId="6509F749" w14:textId="77777777" w:rsidR="0017349C" w:rsidRDefault="0017349C" w:rsidP="006F4CF0">
      <w:pPr>
        <w:pStyle w:val="EX"/>
        <w:spacing w:after="0"/>
        <w:ind w:left="1699" w:hanging="1411"/>
      </w:pPr>
      <w:r w:rsidRPr="0017349C">
        <w:t>VERIS</w:t>
      </w:r>
      <w:r w:rsidR="00060C8D">
        <w:tab/>
      </w:r>
      <w:r w:rsidR="00060C8D" w:rsidRPr="00060C8D">
        <w:t>Vocabulary for Event Recording and Incident Sharing</w:t>
      </w:r>
    </w:p>
    <w:p w14:paraId="4A60A427" w14:textId="77777777" w:rsidR="0017349C" w:rsidRDefault="0017349C" w:rsidP="006F4CF0">
      <w:pPr>
        <w:pStyle w:val="EX"/>
        <w:spacing w:after="0"/>
        <w:ind w:left="1699" w:hanging="1411"/>
      </w:pPr>
      <w:r>
        <w:t>XML</w:t>
      </w:r>
      <w:r w:rsidR="00060C8D">
        <w:tab/>
      </w:r>
      <w:r w:rsidR="00060C8D" w:rsidRPr="00060C8D">
        <w:t>Extensible Markup Language</w:t>
      </w:r>
    </w:p>
    <w:p w14:paraId="788656F0" w14:textId="77777777" w:rsidR="0017349C" w:rsidRDefault="0017349C" w:rsidP="006F4CF0">
      <w:pPr>
        <w:pStyle w:val="EX"/>
        <w:spacing w:after="0"/>
        <w:ind w:left="1699" w:hanging="1411"/>
      </w:pPr>
    </w:p>
    <w:p w14:paraId="54C22F2B" w14:textId="77777777" w:rsidR="0017349C" w:rsidRDefault="0017349C">
      <w:pPr>
        <w:overflowPunct/>
        <w:autoSpaceDE/>
        <w:autoSpaceDN/>
        <w:adjustRightInd/>
        <w:spacing w:after="0"/>
        <w:textAlignment w:val="auto"/>
        <w:rPr>
          <w:rFonts w:ascii="Arial" w:hAnsi="Arial"/>
          <w:sz w:val="36"/>
        </w:rPr>
      </w:pPr>
      <w:bookmarkStart w:id="81" w:name="_Toc389039469"/>
      <w:bookmarkStart w:id="82" w:name="_Toc390250107"/>
      <w:r>
        <w:br w:type="page"/>
      </w:r>
    </w:p>
    <w:p w14:paraId="389879BC" w14:textId="77777777" w:rsidR="00BB6418" w:rsidRPr="0017349C" w:rsidRDefault="00BB6418" w:rsidP="0017349C">
      <w:pPr>
        <w:pStyle w:val="Heading1"/>
      </w:pPr>
      <w:bookmarkStart w:id="83" w:name="_Toc451530778"/>
      <w:r w:rsidRPr="0017349C">
        <w:lastRenderedPageBreak/>
        <w:t>4</w:t>
      </w:r>
      <w:r w:rsidRPr="0017349C">
        <w:tab/>
      </w:r>
      <w:r w:rsidR="0050505E" w:rsidRPr="0017349C">
        <w:t>Means for exchanging s</w:t>
      </w:r>
      <w:bookmarkEnd w:id="79"/>
      <w:bookmarkEnd w:id="80"/>
      <w:bookmarkEnd w:id="81"/>
      <w:bookmarkEnd w:id="82"/>
      <w:r w:rsidR="0050505E" w:rsidRPr="0017349C">
        <w:t>tructured cyber threat intelligence</w:t>
      </w:r>
      <w:bookmarkEnd w:id="83"/>
      <w:r w:rsidR="0050505E" w:rsidRPr="0017349C">
        <w:t xml:space="preserve"> </w:t>
      </w:r>
    </w:p>
    <w:p w14:paraId="00DE1C58" w14:textId="77777777" w:rsidR="00F619DB" w:rsidRPr="00F619DB" w:rsidRDefault="00F619DB" w:rsidP="00BC1F5F">
      <w:pPr>
        <w:pStyle w:val="Heading2"/>
      </w:pPr>
      <w:bookmarkStart w:id="84" w:name="_Toc451530779"/>
      <w:r>
        <w:t>4.1</w:t>
      </w:r>
      <w:r>
        <w:tab/>
        <w:t>Introduction</w:t>
      </w:r>
      <w:bookmarkEnd w:id="84"/>
    </w:p>
    <w:p w14:paraId="4C82F777" w14:textId="77777777" w:rsidR="00BB6418" w:rsidRPr="00F54712" w:rsidRDefault="0050505E" w:rsidP="00E95952">
      <w:pPr>
        <w:keepNext/>
      </w:pPr>
      <w:r>
        <w:t xml:space="preserve">The need for the exchange of structured cyber threat intelligence grew in the 1990s in conjunction with increasing numbers of discovered exploits of network vulnerabilities and attacks. This led to </w:t>
      </w:r>
      <w:r w:rsidR="00E51BA9">
        <w:t xml:space="preserve">a diverse array of initiatives and projects to develop structured expressions and associated protocols for the trusted exchange of information concerning those vulnerabilities and attacks, and remediation steps – which are described in the following clauses.  These efforts and the resulting platforms have moved forward (or not) at significantly different scales, and involve specialized and sometimes vendor-oriented communities.  </w:t>
      </w:r>
      <w:r w:rsidR="00FD183B">
        <w:t xml:space="preserve">The </w:t>
      </w:r>
      <w:r w:rsidR="00FD183B" w:rsidRPr="00FD183B">
        <w:t xml:space="preserve">Financial Services Information Sharing and Analysis Center (FS-ISAC) and The Depository Trust &amp; Clearing Corporation (DTCC) </w:t>
      </w:r>
      <w:r w:rsidR="00FD183B">
        <w:t xml:space="preserve">communities are especially significant and one of the EU NIS essential services sectors.  </w:t>
      </w:r>
      <w:r w:rsidR="00FD183B" w:rsidRPr="00FD183B">
        <w:t xml:space="preserve"> </w:t>
      </w:r>
      <w:r w:rsidR="00E51BA9">
        <w:t>The largest</w:t>
      </w:r>
      <w:r w:rsidR="00FD183B">
        <w:t xml:space="preserve"> related standards activity</w:t>
      </w:r>
      <w:r w:rsidR="00E51BA9">
        <w:t xml:space="preserve"> – now consist</w:t>
      </w:r>
      <w:r w:rsidR="00FD183B">
        <w:t>s</w:t>
      </w:r>
      <w:r w:rsidR="00E51BA9">
        <w:t xml:space="preserve"> of OASIS Technical Committee on Cyber Threat Intelligence (CT </w:t>
      </w:r>
      <w:r w:rsidR="00060C8D">
        <w:t>CTI</w:t>
      </w:r>
      <w:r w:rsidR="00E51BA9">
        <w:t xml:space="preserve">) – </w:t>
      </w:r>
      <w:r w:rsidR="00FD183B">
        <w:t xml:space="preserve">and </w:t>
      </w:r>
      <w:r w:rsidR="00E51BA9">
        <w:t xml:space="preserve">is still rapidly growing and evolving. </w:t>
      </w:r>
      <w:r>
        <w:t xml:space="preserve">  </w:t>
      </w:r>
    </w:p>
    <w:p w14:paraId="575C65B9" w14:textId="478CD5C0" w:rsidR="00BB6418" w:rsidRPr="00F54712" w:rsidRDefault="00BB6418">
      <w:pPr>
        <w:pStyle w:val="Heading2"/>
      </w:pPr>
      <w:bookmarkStart w:id="85" w:name="_Toc300919393"/>
      <w:bookmarkStart w:id="86" w:name="_Toc339380248"/>
      <w:bookmarkStart w:id="87" w:name="_Toc389039470"/>
      <w:bookmarkStart w:id="88" w:name="_Toc390250108"/>
      <w:bookmarkStart w:id="89" w:name="_Toc451530780"/>
      <w:r w:rsidRPr="00F54712">
        <w:t>4.</w:t>
      </w:r>
      <w:r w:rsidR="00F619DB">
        <w:t>2</w:t>
      </w:r>
      <w:r w:rsidRPr="00F54712">
        <w:tab/>
      </w:r>
      <w:r w:rsidR="00E51BA9" w:rsidRPr="00E51BA9">
        <w:t>OASIS Cyber Threat Intelligence Technical Committee</w:t>
      </w:r>
      <w:r w:rsidR="00B2090D">
        <w:t xml:space="preserve"> </w:t>
      </w:r>
      <w:r w:rsidR="00B2090D">
        <w:br/>
        <w:t>(TC</w:t>
      </w:r>
      <w:r w:rsidR="00587175">
        <w:t xml:space="preserve"> CTI)</w:t>
      </w:r>
      <w:bookmarkEnd w:id="85"/>
      <w:bookmarkEnd w:id="86"/>
      <w:bookmarkEnd w:id="87"/>
      <w:bookmarkEnd w:id="88"/>
      <w:bookmarkEnd w:id="89"/>
    </w:p>
    <w:p w14:paraId="58419A58" w14:textId="77777777" w:rsidR="00F619DB" w:rsidRPr="00F619DB" w:rsidRDefault="00F619DB" w:rsidP="00BC1F5F">
      <w:pPr>
        <w:pStyle w:val="Heading3"/>
      </w:pPr>
      <w:bookmarkStart w:id="90" w:name="_Toc451530781"/>
      <w:r>
        <w:t>4.2.1</w:t>
      </w:r>
      <w:r>
        <w:tab/>
        <w:t>Introduction</w:t>
      </w:r>
      <w:bookmarkEnd w:id="90"/>
    </w:p>
    <w:p w14:paraId="0EB74DB7" w14:textId="77777777" w:rsidR="00FC0173" w:rsidRDefault="005F71E5" w:rsidP="00FC0173">
      <w:r w:rsidRPr="005F71E5">
        <w:t xml:space="preserve">The OASIS Cyber Threat Intelligence (CTI) TC was chartered to define a set of information representations and protocols to address the need to model, analyze, and share cyber threat intelligence. In the initial phase of TC work, three specifications </w:t>
      </w:r>
      <w:r w:rsidR="003721D2">
        <w:t>were</w:t>
      </w:r>
      <w:r w:rsidRPr="005F71E5">
        <w:t xml:space="preserve"> transitioned from the US Department of Homeland Security (DHS) for development and standardization under the OASIS open standards process: STIX (Structured Threat Information Expression), TAXII (Trusted Automated Exchange of Indicator Information), and CybOX (Cyber Observable Expression)</w:t>
      </w:r>
      <w:r w:rsidR="00AC7216" w:rsidRPr="00F54712">
        <w:t>.</w:t>
      </w:r>
      <w:r w:rsidR="00FC0173">
        <w:t xml:space="preserve">  </w:t>
      </w:r>
      <w:r w:rsidR="00FC0173" w:rsidRPr="00E375B4">
        <w:t xml:space="preserve">The OASIS CTI Technical Committee </w:t>
      </w:r>
      <w:r w:rsidR="00FC0173">
        <w:t>remit includes</w:t>
      </w:r>
      <w:r w:rsidR="00FC0173" w:rsidRPr="00E375B4">
        <w:t>:</w:t>
      </w:r>
    </w:p>
    <w:p w14:paraId="292D215A" w14:textId="77777777" w:rsidR="00FC0173" w:rsidRDefault="00FC0173" w:rsidP="00FC0173">
      <w:pPr>
        <w:pStyle w:val="ListParagraph"/>
        <w:numPr>
          <w:ilvl w:val="0"/>
          <w:numId w:val="38"/>
        </w:numPr>
      </w:pPr>
      <w:r>
        <w:t>define composable information sharing services for peer-to-peer, hub-and-spoke, and source subscriber threat intelligence sharing models</w:t>
      </w:r>
    </w:p>
    <w:p w14:paraId="43653231" w14:textId="77777777" w:rsidR="00FC0173" w:rsidRDefault="00FC0173" w:rsidP="00FC0173">
      <w:pPr>
        <w:pStyle w:val="ListParagraph"/>
        <w:numPr>
          <w:ilvl w:val="0"/>
          <w:numId w:val="38"/>
        </w:numPr>
      </w:pPr>
      <w:r>
        <w:t>develop standardized representations for campaigns, threat actors, incidents, tactics techniques and procedures (TTPs), indicators, exploit targets, observables, and courses of action</w:t>
      </w:r>
    </w:p>
    <w:p w14:paraId="1C4359FE" w14:textId="77777777" w:rsidR="00FC0173" w:rsidRDefault="00FC0173" w:rsidP="00FC0173">
      <w:pPr>
        <w:pStyle w:val="ListParagraph"/>
        <w:numPr>
          <w:ilvl w:val="0"/>
          <w:numId w:val="38"/>
        </w:numPr>
      </w:pPr>
      <w:r>
        <w:t>develop formal models that allow organizations to develop their own standards-based sharing architectures to meet specific needs</w:t>
      </w:r>
    </w:p>
    <w:p w14:paraId="5EE03718" w14:textId="43CAB4BB" w:rsidR="00A0177F" w:rsidRDefault="00C432F2">
      <w:r>
        <w:t xml:space="preserve">TC CTI </w:t>
      </w:r>
      <w:r w:rsidR="007564A3">
        <w:t>consists of a</w:t>
      </w:r>
      <w:r w:rsidR="003D2B8A">
        <w:t xml:space="preserve"> significant number of </w:t>
      </w:r>
      <w:r w:rsidR="00911BEF">
        <w:t>companies, government agencies, and institutes from around the world</w:t>
      </w:r>
      <w:r w:rsidR="007564A3">
        <w:t>.</w:t>
      </w:r>
      <w:r w:rsidR="00911BEF">
        <w:t xml:space="preserve"> </w:t>
      </w:r>
      <w:r w:rsidR="007564A3">
        <w:t xml:space="preserve">New OASIS versions of the </w:t>
      </w:r>
      <w:r w:rsidR="00EE01D6">
        <w:t>three initial platforms</w:t>
      </w:r>
      <w:r w:rsidR="007564A3">
        <w:t xml:space="preserve"> (</w:t>
      </w:r>
      <w:r w:rsidR="00EE01D6">
        <w:t>STIX</w:t>
      </w:r>
      <w:r w:rsidR="007564A3">
        <w:t xml:space="preserve">, </w:t>
      </w:r>
      <w:r w:rsidR="00EE01D6">
        <w:t>TAXII</w:t>
      </w:r>
      <w:r w:rsidR="007564A3">
        <w:t xml:space="preserve">, </w:t>
      </w:r>
      <w:r w:rsidR="00EE01D6">
        <w:t>and CybOX</w:t>
      </w:r>
      <w:r w:rsidR="007564A3">
        <w:t xml:space="preserve">) were produced and next generation versions being produced.  </w:t>
      </w:r>
      <w:r w:rsidR="005F03E9">
        <w:t xml:space="preserve">Rather considerable material including running code is hosted on multiple design GitHubs.  </w:t>
      </w:r>
      <w:r w:rsidR="00AC2EDA">
        <w:t>(</w:t>
      </w:r>
      <w:hyperlink r:id="rId24" w:history="1">
        <w:r w:rsidR="005F03E9" w:rsidRPr="00A717A9">
          <w:rPr>
            <w:rStyle w:val="Hyperlink"/>
          </w:rPr>
          <w:t>https://github.com/STIXProject</w:t>
        </w:r>
      </w:hyperlink>
      <w:r w:rsidR="005F03E9">
        <w:t xml:space="preserve">, </w:t>
      </w:r>
      <w:hyperlink r:id="rId25" w:history="1">
        <w:r w:rsidR="00AC2EDA" w:rsidRPr="00A717A9">
          <w:rPr>
            <w:rStyle w:val="Hyperlink"/>
          </w:rPr>
          <w:t>https://github.com/TAXIIProject</w:t>
        </w:r>
      </w:hyperlink>
      <w:r w:rsidR="00AC2EDA">
        <w:t xml:space="preserve">, </w:t>
      </w:r>
      <w:hyperlink r:id="rId26" w:history="1">
        <w:r w:rsidR="00AC2EDA" w:rsidRPr="00A717A9">
          <w:rPr>
            <w:rStyle w:val="Hyperlink"/>
          </w:rPr>
          <w:t>https://github.com/CybOXProject</w:t>
        </w:r>
      </w:hyperlink>
      <w:r w:rsidR="00AC2EDA">
        <w:t xml:space="preserve">, </w:t>
      </w:r>
      <w:hyperlink r:id="rId27" w:history="1">
        <w:r w:rsidR="00AC2EDA" w:rsidRPr="00A717A9">
          <w:rPr>
            <w:rStyle w:val="Hyperlink"/>
          </w:rPr>
          <w:t>https://github.com/MAECProject/</w:t>
        </w:r>
      </w:hyperlink>
      <w:r w:rsidR="00AC2EDA">
        <w:t>.  It is expected that MAEC will be conflated into the TAXII.</w:t>
      </w:r>
      <w:r w:rsidR="00FC0173">
        <w:t xml:space="preserve">  As of </w:t>
      </w:r>
      <w:r w:rsidR="007564A3">
        <w:t xml:space="preserve">June </w:t>
      </w:r>
      <w:r w:rsidR="00FC0173">
        <w:t xml:space="preserve">2016, the </w:t>
      </w:r>
      <w:r w:rsidR="00A0177F">
        <w:t>deliverables</w:t>
      </w:r>
      <w:r w:rsidR="007564A3">
        <w:t xml:space="preserve"> consist of</w:t>
      </w:r>
      <w:r w:rsidR="00A0177F">
        <w:t>:</w:t>
      </w:r>
    </w:p>
    <w:p w14:paraId="49DEA424" w14:textId="77777777" w:rsidR="007564A3" w:rsidRDefault="007564A3" w:rsidP="00056A8D">
      <w:pPr>
        <w:pStyle w:val="ListParagraph"/>
        <w:numPr>
          <w:ilvl w:val="0"/>
          <w:numId w:val="49"/>
        </w:numPr>
      </w:pPr>
      <w:r>
        <w:t>STIX 1.2.1 Specification, Aug 2016</w:t>
      </w:r>
    </w:p>
    <w:p w14:paraId="7D4BE68C" w14:textId="77777777" w:rsidR="007564A3" w:rsidRDefault="007564A3" w:rsidP="00056A8D">
      <w:pPr>
        <w:pStyle w:val="ListParagraph"/>
        <w:numPr>
          <w:ilvl w:val="0"/>
          <w:numId w:val="49"/>
        </w:numPr>
      </w:pPr>
      <w:r>
        <w:t>STIX 2.0 Specification [target Q1 2017]</w:t>
      </w:r>
    </w:p>
    <w:p w14:paraId="63D87128" w14:textId="77777777" w:rsidR="007564A3" w:rsidRDefault="007564A3" w:rsidP="00056A8D">
      <w:pPr>
        <w:pStyle w:val="ListParagraph"/>
        <w:numPr>
          <w:ilvl w:val="0"/>
          <w:numId w:val="49"/>
        </w:numPr>
      </w:pPr>
      <w:r>
        <w:t>TAXII 1.1.1 Specification, Aug 2016</w:t>
      </w:r>
    </w:p>
    <w:p w14:paraId="017A05BE" w14:textId="77777777" w:rsidR="007564A3" w:rsidRDefault="007564A3" w:rsidP="00056A8D">
      <w:pPr>
        <w:pStyle w:val="ListParagraph"/>
        <w:numPr>
          <w:ilvl w:val="0"/>
          <w:numId w:val="49"/>
        </w:numPr>
      </w:pPr>
      <w:r>
        <w:t>TAXII 2.0 Specification [target Q1 2017]</w:t>
      </w:r>
    </w:p>
    <w:p w14:paraId="413B0751" w14:textId="77777777" w:rsidR="007564A3" w:rsidRDefault="007564A3" w:rsidP="00056A8D">
      <w:pPr>
        <w:pStyle w:val="ListParagraph"/>
        <w:numPr>
          <w:ilvl w:val="0"/>
          <w:numId w:val="49"/>
        </w:numPr>
      </w:pPr>
      <w:r>
        <w:t>CybOX 2.1.1 Specification, [Sep 2016]</w:t>
      </w:r>
    </w:p>
    <w:p w14:paraId="1094783C" w14:textId="77777777" w:rsidR="007564A3" w:rsidRDefault="007564A3" w:rsidP="00056A8D">
      <w:pPr>
        <w:pStyle w:val="ListParagraph"/>
        <w:numPr>
          <w:ilvl w:val="0"/>
          <w:numId w:val="49"/>
        </w:numPr>
      </w:pPr>
      <w:r>
        <w:t>CybOX 3.0 Specification [target Q1 2017]</w:t>
      </w:r>
    </w:p>
    <w:p w14:paraId="2AD55184" w14:textId="77777777" w:rsidR="007564A3" w:rsidRDefault="007564A3" w:rsidP="00056A8D">
      <w:pPr>
        <w:pStyle w:val="ListParagraph"/>
        <w:numPr>
          <w:ilvl w:val="0"/>
          <w:numId w:val="49"/>
        </w:numPr>
      </w:pPr>
      <w:r>
        <w:t>CybOX 3.0 Roadmap</w:t>
      </w:r>
    </w:p>
    <w:p w14:paraId="54A505E0" w14:textId="77777777" w:rsidR="007564A3" w:rsidRDefault="007564A3" w:rsidP="00056A8D">
      <w:pPr>
        <w:pStyle w:val="ListParagraph"/>
        <w:numPr>
          <w:ilvl w:val="0"/>
          <w:numId w:val="49"/>
        </w:numPr>
      </w:pPr>
      <w:r>
        <w:t>CybOX 3.0 Visualation</w:t>
      </w:r>
    </w:p>
    <w:p w14:paraId="420D3929" w14:textId="77777777" w:rsidR="00A354C7" w:rsidRDefault="007564A3" w:rsidP="00056A8D">
      <w:pPr>
        <w:pStyle w:val="ListParagraph"/>
        <w:numPr>
          <w:ilvl w:val="0"/>
          <w:numId w:val="49"/>
        </w:numPr>
      </w:pPr>
      <w:r>
        <w:t>Interoperability Guidelines</w:t>
      </w:r>
    </w:p>
    <w:p w14:paraId="530913C4" w14:textId="77777777" w:rsidR="00A354C7" w:rsidRDefault="007564A3" w:rsidP="00056A8D">
      <w:pPr>
        <w:pStyle w:val="ListParagraph"/>
        <w:numPr>
          <w:ilvl w:val="0"/>
          <w:numId w:val="49"/>
        </w:numPr>
      </w:pPr>
      <w:r>
        <w:t xml:space="preserve">Interoperability Demonstration Policy </w:t>
      </w:r>
    </w:p>
    <w:p w14:paraId="11452F2A" w14:textId="77777777" w:rsidR="007564A3" w:rsidRDefault="007564A3" w:rsidP="00056A8D">
      <w:pPr>
        <w:pStyle w:val="ListParagraph"/>
        <w:spacing w:after="0"/>
      </w:pPr>
    </w:p>
    <w:p w14:paraId="2B0DAFE2" w14:textId="524E3584" w:rsidR="00F619DB" w:rsidRDefault="00C53F61" w:rsidP="00056A8D">
      <w:r>
        <w:t xml:space="preserve">The platforms have significant potential use within Network Functions Virtualization environments. </w:t>
      </w:r>
      <w:r w:rsidR="00FA1A45">
        <w:t>The degree of activity and importance of this work merits more detailed treatment of the principal CTI subcommittees and their work.</w:t>
      </w:r>
      <w:r w:rsidR="0022603E">
        <w:t xml:space="preserve">  It presently has </w:t>
      </w:r>
      <w:r w:rsidR="00047576">
        <w:t>four active subcommittees dedicated to specific deliverables that are described below.  There is an additional Marketing Group within the TC as well as several informal ad hoc “mini working groups.”</w:t>
      </w:r>
    </w:p>
    <w:p w14:paraId="1E6926A1" w14:textId="378AE5FB" w:rsidR="005F71E5" w:rsidRDefault="005F71E5" w:rsidP="00A60AA1">
      <w:pPr>
        <w:pStyle w:val="Heading3"/>
      </w:pPr>
      <w:bookmarkStart w:id="91" w:name="_Toc451530782"/>
      <w:r>
        <w:lastRenderedPageBreak/>
        <w:t>4.</w:t>
      </w:r>
      <w:r w:rsidR="00F619DB">
        <w:t>2</w:t>
      </w:r>
      <w:r>
        <w:t>.</w:t>
      </w:r>
      <w:r w:rsidR="00F619DB">
        <w:t>2</w:t>
      </w:r>
      <w:r>
        <w:tab/>
        <w:t>C</w:t>
      </w:r>
      <w:r w:rsidRPr="005F71E5">
        <w:t>TI STIX Subcommittee</w:t>
      </w:r>
      <w:bookmarkEnd w:id="91"/>
    </w:p>
    <w:p w14:paraId="6CB3098B" w14:textId="0C64F3FC" w:rsidR="00F308DB" w:rsidRDefault="00F308DB" w:rsidP="001B6049">
      <w:r w:rsidRPr="00F308DB">
        <w:t>The objective of the Structured Threat Information Expression (STIX</w:t>
      </w:r>
      <w:r>
        <w:t>™</w:t>
      </w:r>
      <w:r w:rsidRPr="00F308DB">
        <w:t>) effort is to specify, characterize, and capture cyber threat information. STIX addresses a full range of cyber threat use cases – including threat analysis, capture and specification of indicators, management of response activities, and information sharing – to improve consistency, efficiency, interoperability, and overall situational awareness</w:t>
      </w:r>
    </w:p>
    <w:p w14:paraId="42FB9F57" w14:textId="7C1D607F" w:rsidR="001B6049" w:rsidRPr="001B6049" w:rsidRDefault="001B6049" w:rsidP="001B6049">
      <w:r>
        <w:t xml:space="preserve">The </w:t>
      </w:r>
      <w:r w:rsidR="00EE0F32">
        <w:t xml:space="preserve">four </w:t>
      </w:r>
      <w:r>
        <w:t xml:space="preserve">active work products include </w:t>
      </w:r>
      <w:r w:rsidRPr="001B6049">
        <w:t xml:space="preserve">STIX v1.2.1 language specifications, XML binding specification for STIX v1.2.1, STIX </w:t>
      </w:r>
      <w:r w:rsidR="00D65EAE">
        <w:t xml:space="preserve">and </w:t>
      </w:r>
      <w:r w:rsidRPr="001B6049">
        <w:t>v2.0 language specifications</w:t>
      </w:r>
      <w:r w:rsidR="00EE0F32">
        <w:t xml:space="preserve">, </w:t>
      </w:r>
      <w:r w:rsidR="00D65EAE">
        <w:t xml:space="preserve">including </w:t>
      </w:r>
      <w:r w:rsidR="00EE0F32">
        <w:t xml:space="preserve">the </w:t>
      </w:r>
      <w:r w:rsidR="00EE0F32" w:rsidRPr="00EE0F32">
        <w:t>STIX 1.2.1 JSON Binding Specification 1.0</w:t>
      </w:r>
      <w:r>
        <w:t>.</w:t>
      </w:r>
      <w:r w:rsidR="00D65EAE">
        <w:t>[i.4]</w:t>
      </w:r>
      <w:r>
        <w:t xml:space="preserve"> The STIX use cases are depicted in Figure 1, the intelligence model and expression groups in Figure 2, and examples in Figure 3.</w:t>
      </w:r>
    </w:p>
    <w:p w14:paraId="4A1CB6EE" w14:textId="2264AFBD" w:rsidR="005F71E5" w:rsidRDefault="00E94851" w:rsidP="00A60AA1">
      <w:pPr>
        <w:jc w:val="center"/>
      </w:pPr>
      <w:r>
        <w:rPr>
          <w:noProof/>
          <w:lang w:eastAsia="en-GB"/>
        </w:rPr>
        <w:drawing>
          <wp:inline distT="0" distB="0" distL="0" distR="0" wp14:anchorId="0BB6B40A" wp14:editId="7B2596F5">
            <wp:extent cx="5521991" cy="278788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45956" cy="2799981"/>
                    </a:xfrm>
                    <a:prstGeom prst="rect">
                      <a:avLst/>
                    </a:prstGeom>
                    <a:noFill/>
                  </pic:spPr>
                </pic:pic>
              </a:graphicData>
            </a:graphic>
          </wp:inline>
        </w:drawing>
      </w:r>
    </w:p>
    <w:p w14:paraId="4AA298A2" w14:textId="0E0BD623" w:rsidR="00B420AF" w:rsidRPr="001B570B" w:rsidRDefault="00B420AF">
      <w:pPr>
        <w:jc w:val="center"/>
        <w:rPr>
          <w:rFonts w:asciiTheme="minorHAnsi" w:hAnsiTheme="minorHAnsi"/>
          <w:b/>
        </w:rPr>
      </w:pPr>
      <w:r w:rsidRPr="001B570B">
        <w:rPr>
          <w:rFonts w:asciiTheme="minorHAnsi" w:hAnsiTheme="minorHAnsi"/>
          <w:b/>
        </w:rPr>
        <w:t xml:space="preserve">Figure </w:t>
      </w:r>
      <w:r w:rsidR="001B6049" w:rsidRPr="001B570B">
        <w:rPr>
          <w:rFonts w:asciiTheme="minorHAnsi" w:hAnsiTheme="minorHAnsi"/>
          <w:b/>
        </w:rPr>
        <w:t>1</w:t>
      </w:r>
      <w:r w:rsidR="00D649D9" w:rsidRPr="00056A8D">
        <w:rPr>
          <w:rFonts w:asciiTheme="minorHAnsi" w:hAnsiTheme="minorHAnsi"/>
        </w:rPr>
        <w:t>:</w:t>
      </w:r>
      <w:r w:rsidR="001B6049" w:rsidRPr="001B570B">
        <w:rPr>
          <w:rFonts w:asciiTheme="minorHAnsi" w:hAnsiTheme="minorHAnsi"/>
          <w:b/>
        </w:rPr>
        <w:t xml:space="preserve"> </w:t>
      </w:r>
      <w:r w:rsidRPr="001B570B">
        <w:rPr>
          <w:rFonts w:asciiTheme="minorHAnsi" w:hAnsiTheme="minorHAnsi"/>
          <w:b/>
        </w:rPr>
        <w:t>STIX use cases</w:t>
      </w:r>
      <w:r w:rsidR="005202A8" w:rsidRPr="00056A8D">
        <w:rPr>
          <w:rFonts w:asciiTheme="minorHAnsi" w:hAnsiTheme="minorHAnsi"/>
        </w:rPr>
        <w:t xml:space="preserve"> [i.4]</w:t>
      </w:r>
    </w:p>
    <w:p w14:paraId="5AC66654" w14:textId="06C8B0C1" w:rsidR="00B420AF" w:rsidRDefault="002E4FAE" w:rsidP="00A60AA1">
      <w:pPr>
        <w:jc w:val="center"/>
      </w:pPr>
      <w:r>
        <w:rPr>
          <w:rFonts w:ascii="Arial" w:hAnsi="Arial"/>
          <w:noProof/>
          <w:sz w:val="16"/>
          <w:szCs w:val="16"/>
          <w:lang w:eastAsia="en-GB"/>
        </w:rPr>
        <w:drawing>
          <wp:inline distT="0" distB="0" distL="0" distR="0" wp14:anchorId="3CF1DD5A" wp14:editId="6160B2FD">
            <wp:extent cx="4527992" cy="3327028"/>
            <wp:effectExtent l="0" t="0" r="635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verview2-5.jpg"/>
                    <pic:cNvPicPr/>
                  </pic:nvPicPr>
                  <pic:blipFill rotWithShape="1">
                    <a:blip r:embed="rId29">
                      <a:extLst>
                        <a:ext uri="{28A0092B-C50C-407E-A947-70E740481C1C}">
                          <a14:useLocalDpi xmlns:a14="http://schemas.microsoft.com/office/drawing/2010/main" val="0"/>
                        </a:ext>
                      </a:extLst>
                    </a:blip>
                    <a:srcRect/>
                    <a:stretch/>
                  </pic:blipFill>
                  <pic:spPr bwMode="auto">
                    <a:xfrm>
                      <a:off x="0" y="0"/>
                      <a:ext cx="4527019" cy="3326313"/>
                    </a:xfrm>
                    <a:prstGeom prst="rect">
                      <a:avLst/>
                    </a:prstGeom>
                    <a:ln>
                      <a:noFill/>
                    </a:ln>
                    <a:extLst>
                      <a:ext uri="{53640926-AAD7-44D8-BBD7-CCE9431645EC}">
                        <a14:shadowObscured xmlns:a14="http://schemas.microsoft.com/office/drawing/2010/main"/>
                      </a:ext>
                    </a:extLst>
                  </pic:spPr>
                </pic:pic>
              </a:graphicData>
            </a:graphic>
          </wp:inline>
        </w:drawing>
      </w:r>
    </w:p>
    <w:p w14:paraId="08507870" w14:textId="429F4310" w:rsidR="00B420AF" w:rsidRPr="001B570B" w:rsidRDefault="00B420AF" w:rsidP="00B420AF">
      <w:pPr>
        <w:jc w:val="center"/>
        <w:rPr>
          <w:rFonts w:asciiTheme="minorHAnsi" w:hAnsiTheme="minorHAnsi"/>
          <w:b/>
        </w:rPr>
      </w:pPr>
      <w:r w:rsidRPr="001B570B">
        <w:rPr>
          <w:rFonts w:asciiTheme="minorHAnsi" w:hAnsiTheme="minorHAnsi"/>
          <w:b/>
        </w:rPr>
        <w:t xml:space="preserve">Figure </w:t>
      </w:r>
      <w:r w:rsidR="001B6049" w:rsidRPr="001B570B">
        <w:rPr>
          <w:rFonts w:asciiTheme="minorHAnsi" w:hAnsiTheme="minorHAnsi"/>
          <w:b/>
        </w:rPr>
        <w:t>2</w:t>
      </w:r>
      <w:r w:rsidR="00D649D9" w:rsidRPr="00056A8D">
        <w:rPr>
          <w:rFonts w:asciiTheme="minorHAnsi" w:hAnsiTheme="minorHAnsi"/>
        </w:rPr>
        <w:t>:</w:t>
      </w:r>
      <w:r w:rsidR="001B6049" w:rsidRPr="001B570B">
        <w:rPr>
          <w:rFonts w:asciiTheme="minorHAnsi" w:hAnsiTheme="minorHAnsi"/>
          <w:b/>
        </w:rPr>
        <w:t xml:space="preserve"> </w:t>
      </w:r>
      <w:r w:rsidRPr="001B570B">
        <w:rPr>
          <w:rFonts w:asciiTheme="minorHAnsi" w:hAnsiTheme="minorHAnsi"/>
          <w:b/>
        </w:rPr>
        <w:t xml:space="preserve">STIX </w:t>
      </w:r>
      <w:r w:rsidR="002E4FAE" w:rsidRPr="001B570B">
        <w:rPr>
          <w:rFonts w:asciiTheme="minorHAnsi" w:hAnsiTheme="minorHAnsi"/>
          <w:b/>
        </w:rPr>
        <w:t>Package encompasses the STIX individual component data models</w:t>
      </w:r>
      <w:r w:rsidR="002E4FAE" w:rsidRPr="001B570B" w:rsidDel="002E4FAE">
        <w:rPr>
          <w:rFonts w:asciiTheme="minorHAnsi" w:hAnsiTheme="minorHAnsi"/>
          <w:b/>
        </w:rPr>
        <w:t xml:space="preserve"> </w:t>
      </w:r>
      <w:r w:rsidR="005202A8" w:rsidRPr="00056A8D">
        <w:rPr>
          <w:rFonts w:asciiTheme="minorHAnsi" w:hAnsiTheme="minorHAnsi"/>
        </w:rPr>
        <w:t>[i.4]</w:t>
      </w:r>
    </w:p>
    <w:p w14:paraId="122924F3" w14:textId="72DCA3B0" w:rsidR="00B420AF" w:rsidRDefault="00B420AF" w:rsidP="00B420AF">
      <w:pPr>
        <w:jc w:val="center"/>
        <w:rPr>
          <w:rFonts w:asciiTheme="minorHAnsi" w:hAnsiTheme="minorHAnsi"/>
          <w:b/>
        </w:rPr>
      </w:pPr>
      <w:r w:rsidRPr="00B420AF">
        <w:rPr>
          <w:rFonts w:asciiTheme="minorHAnsi" w:hAnsiTheme="minorHAnsi"/>
          <w:b/>
        </w:rPr>
        <w:lastRenderedPageBreak/>
        <w:t xml:space="preserve"> </w:t>
      </w:r>
      <w:r w:rsidR="002E4FAE">
        <w:rPr>
          <w:noProof/>
          <w:sz w:val="23"/>
          <w:szCs w:val="23"/>
          <w:lang w:eastAsia="en-GB"/>
        </w:rPr>
        <w:drawing>
          <wp:inline distT="0" distB="0" distL="0" distR="0" wp14:anchorId="73A18352" wp14:editId="1637D3F5">
            <wp:extent cx="3883921" cy="2706624"/>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2-1c.jpg"/>
                    <pic:cNvPicPr/>
                  </pic:nvPicPr>
                  <pic:blipFill rotWithShape="1">
                    <a:blip r:embed="rId30">
                      <a:extLst>
                        <a:ext uri="{28A0092B-C50C-407E-A947-70E740481C1C}">
                          <a14:useLocalDpi xmlns:a14="http://schemas.microsoft.com/office/drawing/2010/main" val="0"/>
                        </a:ext>
                      </a:extLst>
                    </a:blip>
                    <a:srcRect l="6691" t="10524" r="15175" b="16876"/>
                    <a:stretch/>
                  </pic:blipFill>
                  <pic:spPr bwMode="auto">
                    <a:xfrm>
                      <a:off x="0" y="0"/>
                      <a:ext cx="3883921" cy="2706624"/>
                    </a:xfrm>
                    <a:prstGeom prst="rect">
                      <a:avLst/>
                    </a:prstGeom>
                    <a:ln>
                      <a:noFill/>
                    </a:ln>
                    <a:extLst>
                      <a:ext uri="{53640926-AAD7-44D8-BBD7-CCE9431645EC}">
                        <a14:shadowObscured xmlns:a14="http://schemas.microsoft.com/office/drawing/2010/main"/>
                      </a:ext>
                    </a:extLst>
                  </pic:spPr>
                </pic:pic>
              </a:graphicData>
            </a:graphic>
          </wp:inline>
        </w:drawing>
      </w:r>
    </w:p>
    <w:p w14:paraId="4F7B43F6" w14:textId="78BAE064" w:rsidR="00B420AF" w:rsidRPr="00056A8D" w:rsidRDefault="00B420AF" w:rsidP="00B420AF">
      <w:pPr>
        <w:jc w:val="center"/>
        <w:rPr>
          <w:rFonts w:asciiTheme="minorHAnsi" w:hAnsiTheme="minorHAnsi"/>
        </w:rPr>
      </w:pPr>
      <w:r w:rsidRPr="001B570B">
        <w:rPr>
          <w:rFonts w:asciiTheme="minorHAnsi" w:hAnsiTheme="minorHAnsi"/>
          <w:b/>
        </w:rPr>
        <w:t xml:space="preserve">Figure </w:t>
      </w:r>
      <w:r w:rsidR="001B6049" w:rsidRPr="001B570B">
        <w:rPr>
          <w:rFonts w:asciiTheme="minorHAnsi" w:hAnsiTheme="minorHAnsi"/>
          <w:b/>
        </w:rPr>
        <w:t>3</w:t>
      </w:r>
      <w:r w:rsidR="00D649D9" w:rsidRPr="00056A8D">
        <w:rPr>
          <w:rFonts w:asciiTheme="minorHAnsi" w:hAnsiTheme="minorHAnsi"/>
        </w:rPr>
        <w:t>:</w:t>
      </w:r>
      <w:r w:rsidR="001B6049" w:rsidRPr="001B570B">
        <w:rPr>
          <w:rFonts w:asciiTheme="minorHAnsi" w:hAnsiTheme="minorHAnsi"/>
          <w:b/>
        </w:rPr>
        <w:t xml:space="preserve"> </w:t>
      </w:r>
      <w:r w:rsidRPr="001B570B">
        <w:rPr>
          <w:rFonts w:asciiTheme="minorHAnsi" w:hAnsiTheme="minorHAnsi"/>
          <w:b/>
        </w:rPr>
        <w:t xml:space="preserve">STIX </w:t>
      </w:r>
      <w:r w:rsidR="002E4FAE" w:rsidRPr="001B570B">
        <w:rPr>
          <w:rFonts w:asciiTheme="minorHAnsi" w:hAnsiTheme="minorHAnsi"/>
          <w:b/>
        </w:rPr>
        <w:t>architecture</w:t>
      </w:r>
      <w:r w:rsidR="002E4FAE" w:rsidRPr="00056A8D">
        <w:rPr>
          <w:rFonts w:asciiTheme="minorHAnsi" w:hAnsiTheme="minorHAnsi"/>
        </w:rPr>
        <w:t xml:space="preserve"> </w:t>
      </w:r>
      <w:r w:rsidR="001F2A19" w:rsidRPr="00056A8D">
        <w:rPr>
          <w:rFonts w:asciiTheme="minorHAnsi" w:hAnsiTheme="minorHAnsi"/>
        </w:rPr>
        <w:t>[i.</w:t>
      </w:r>
      <w:r w:rsidR="002E4FAE" w:rsidRPr="00056A8D">
        <w:rPr>
          <w:rFonts w:asciiTheme="minorHAnsi" w:hAnsiTheme="minorHAnsi"/>
        </w:rPr>
        <w:t>4</w:t>
      </w:r>
      <w:r w:rsidR="001F2A19" w:rsidRPr="00056A8D">
        <w:rPr>
          <w:rFonts w:asciiTheme="minorHAnsi" w:hAnsiTheme="minorHAnsi"/>
        </w:rPr>
        <w:t>]</w:t>
      </w:r>
    </w:p>
    <w:p w14:paraId="59799A00" w14:textId="017DC38E" w:rsidR="00D65EAE" w:rsidRPr="00BE48E2" w:rsidRDefault="00D65EAE" w:rsidP="00056A8D">
      <w:r w:rsidRPr="00D65EAE">
        <w:t>STIX 2.0 features being considered include JSON expressions, Sightings/ Observation/Indicator, Versioning, Indicator Type Vocabulary, Common Object Properties, Packaging, Campaign, TTPs</w:t>
      </w:r>
      <w:r>
        <w:t>. [i.5]</w:t>
      </w:r>
    </w:p>
    <w:p w14:paraId="46EB0B5C" w14:textId="764BFADE" w:rsidR="005F71E5" w:rsidRDefault="005F71E5" w:rsidP="00A60AA1">
      <w:pPr>
        <w:pStyle w:val="Heading3"/>
      </w:pPr>
      <w:bookmarkStart w:id="92" w:name="_Toc451530783"/>
      <w:r>
        <w:t>4.</w:t>
      </w:r>
      <w:r w:rsidR="00A52ED5">
        <w:t>2</w:t>
      </w:r>
      <w:r>
        <w:t>.</w:t>
      </w:r>
      <w:r w:rsidR="00A52ED5">
        <w:t>3</w:t>
      </w:r>
      <w:r>
        <w:tab/>
      </w:r>
      <w:r w:rsidRPr="005F71E5">
        <w:t xml:space="preserve">CTI </w:t>
      </w:r>
      <w:r>
        <w:t>TAXII</w:t>
      </w:r>
      <w:r w:rsidRPr="005F71E5">
        <w:t xml:space="preserve"> Subcommittee</w:t>
      </w:r>
      <w:bookmarkEnd w:id="92"/>
    </w:p>
    <w:p w14:paraId="421F9DD7" w14:textId="5F506677" w:rsidR="001B6049" w:rsidRPr="001B6049" w:rsidRDefault="001B570B" w:rsidP="00772DDE">
      <w:r w:rsidRPr="001B570B">
        <w:t>Trusted Automated eXchange o</w:t>
      </w:r>
      <w:r>
        <w:t>f Indicator Information (TAXII™</w:t>
      </w:r>
      <w:r w:rsidRPr="001B570B">
        <w:t>) defines a set of services and message exchanges that, when implemented, sharing of actionable cyber threat information across organization and product/service boundaries. TAXII, through its member specifications, defines concepts, protocols and messages to exchange cyber threat information for the detection, prevention, and mitigation of cyber threats</w:t>
      </w:r>
      <w:r w:rsidR="00772DDE">
        <w:t>.</w:t>
      </w:r>
      <w:r w:rsidR="004D4B62">
        <w:t xml:space="preserve">  The models supported by version 1.1.1 as well as the specification components are shown in figures 4 and 5 below</w:t>
      </w:r>
    </w:p>
    <w:p w14:paraId="51F71DA4" w14:textId="2A77C8C3" w:rsidR="005F71E5" w:rsidRDefault="001B570B" w:rsidP="00056A8D">
      <w:pPr>
        <w:spacing w:after="0"/>
        <w:jc w:val="center"/>
      </w:pPr>
      <w:r>
        <w:rPr>
          <w:noProof/>
          <w:lang w:eastAsia="en-GB"/>
        </w:rPr>
        <w:drawing>
          <wp:inline distT="0" distB="0" distL="0" distR="0" wp14:anchorId="6504D5B3" wp14:editId="31A3A83C">
            <wp:extent cx="1781417" cy="1112154"/>
            <wp:effectExtent l="0" t="0" r="0" b="0"/>
            <wp:docPr id="2050" name="Picture 2" descr="http://docs.oasis-open.org/cti/taxii/v1.1.1/csprd01/part1-overview/taxii-v1.1.1-csprd01-part1-overview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docs.oasis-open.org/cti/taxii/v1.1.1/csprd01/part1-overview/taxii-v1.1.1-csprd01-part1-overview_files/image002.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82624" cy="1112908"/>
                    </a:xfrm>
                    <a:prstGeom prst="rect">
                      <a:avLst/>
                    </a:prstGeom>
                    <a:noFill/>
                    <a:extLst/>
                  </pic:spPr>
                </pic:pic>
              </a:graphicData>
            </a:graphic>
          </wp:inline>
        </w:drawing>
      </w:r>
      <w:r>
        <w:t xml:space="preserve"> </w:t>
      </w:r>
      <w:r w:rsidRPr="001B570B">
        <w:rPr>
          <w:noProof/>
          <w:lang w:eastAsia="en-GB"/>
        </w:rPr>
        <w:drawing>
          <wp:inline distT="0" distB="0" distL="0" distR="0" wp14:anchorId="691A9DCB" wp14:editId="5AB3628F">
            <wp:extent cx="1846800" cy="1109994"/>
            <wp:effectExtent l="0" t="0" r="1270" b="0"/>
            <wp:docPr id="2052" name="Picture 4" descr="http://docs.oasis-open.org/cti/taxii/v1.1.1/csprd01/part1-overview/taxii-v1.1.1-csprd01-part1-overview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http://docs.oasis-open.org/cti/taxii/v1.1.1/csprd01/part1-overview/taxii-v1.1.1-csprd01-part1-overview_files/image003.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50098" cy="1111976"/>
                    </a:xfrm>
                    <a:prstGeom prst="rect">
                      <a:avLst/>
                    </a:prstGeom>
                    <a:noFill/>
                    <a:extLst/>
                  </pic:spPr>
                </pic:pic>
              </a:graphicData>
            </a:graphic>
          </wp:inline>
        </w:drawing>
      </w:r>
      <w:r>
        <w:t xml:space="preserve"> </w:t>
      </w:r>
      <w:r w:rsidRPr="001B570B">
        <w:rPr>
          <w:noProof/>
          <w:lang w:eastAsia="en-GB"/>
        </w:rPr>
        <w:drawing>
          <wp:inline distT="0" distB="0" distL="0" distR="0" wp14:anchorId="6F66F6C9" wp14:editId="67412F76">
            <wp:extent cx="1631956" cy="1105104"/>
            <wp:effectExtent l="0" t="0" r="6350" b="0"/>
            <wp:docPr id="2054" name="Picture 6" descr="http://docs.oasis-open.org/cti/taxii/v1.1.1/csprd01/part1-overview/taxii-v1.1.1-csprd01-part1-overview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http://docs.oasis-open.org/cti/taxii/v1.1.1/csprd01/part1-overview/taxii-v1.1.1-csprd01-part1-overview_files/image004.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31482" cy="1104783"/>
                    </a:xfrm>
                    <a:prstGeom prst="rect">
                      <a:avLst/>
                    </a:prstGeom>
                    <a:noFill/>
                    <a:extLst/>
                  </pic:spPr>
                </pic:pic>
              </a:graphicData>
            </a:graphic>
          </wp:inline>
        </w:drawing>
      </w:r>
    </w:p>
    <w:p w14:paraId="01FC8F4D" w14:textId="1C2A4D35" w:rsidR="001B570B" w:rsidRPr="001B570B" w:rsidRDefault="001B570B" w:rsidP="00056A8D">
      <w:pPr>
        <w:tabs>
          <w:tab w:val="left" w:pos="4140"/>
          <w:tab w:val="left" w:pos="7200"/>
        </w:tabs>
        <w:overflowPunct/>
        <w:autoSpaceDE/>
        <w:autoSpaceDN/>
        <w:adjustRightInd/>
        <w:spacing w:after="0"/>
        <w:ind w:left="1260"/>
        <w:textAlignment w:val="auto"/>
        <w:rPr>
          <w:sz w:val="24"/>
          <w:szCs w:val="24"/>
          <w:lang w:eastAsia="en-GB"/>
        </w:rPr>
      </w:pPr>
      <w:r w:rsidRPr="001B570B">
        <w:rPr>
          <w:rFonts w:asciiTheme="minorHAnsi" w:eastAsiaTheme="minorEastAsia" w:hAnsi="Franklin Gothic Book" w:cstheme="minorBidi"/>
          <w:b/>
          <w:bCs/>
          <w:color w:val="000000" w:themeColor="text1"/>
          <w:kern w:val="24"/>
          <w:sz w:val="24"/>
          <w:szCs w:val="24"/>
          <w:lang w:eastAsia="en-GB"/>
        </w:rPr>
        <w:t>Hub and Spoke</w:t>
      </w:r>
      <w:r>
        <w:rPr>
          <w:rFonts w:asciiTheme="minorHAnsi" w:eastAsiaTheme="minorEastAsia" w:hAnsi="Franklin Gothic Book" w:cstheme="minorBidi"/>
          <w:b/>
          <w:bCs/>
          <w:color w:val="000000" w:themeColor="text1"/>
          <w:kern w:val="24"/>
          <w:sz w:val="24"/>
          <w:szCs w:val="24"/>
          <w:lang w:eastAsia="en-GB"/>
        </w:rPr>
        <w:tab/>
      </w:r>
      <w:r w:rsidRPr="001B570B">
        <w:rPr>
          <w:rFonts w:asciiTheme="minorHAnsi" w:eastAsiaTheme="minorEastAsia" w:hAnsi="Franklin Gothic Book" w:cstheme="minorBidi"/>
          <w:b/>
          <w:bCs/>
          <w:color w:val="000000" w:themeColor="text1"/>
          <w:kern w:val="24"/>
          <w:sz w:val="24"/>
          <w:szCs w:val="24"/>
          <w:lang w:eastAsia="en-GB"/>
        </w:rPr>
        <w:t>Source/ Subscriber</w:t>
      </w:r>
      <w:r>
        <w:rPr>
          <w:rFonts w:asciiTheme="minorHAnsi" w:eastAsiaTheme="minorEastAsia" w:hAnsi="Franklin Gothic Book" w:cstheme="minorBidi"/>
          <w:b/>
          <w:bCs/>
          <w:color w:val="000000" w:themeColor="text1"/>
          <w:kern w:val="24"/>
          <w:sz w:val="24"/>
          <w:szCs w:val="24"/>
          <w:lang w:eastAsia="en-GB"/>
        </w:rPr>
        <w:tab/>
      </w:r>
      <w:r w:rsidRPr="001B570B">
        <w:rPr>
          <w:rFonts w:asciiTheme="minorHAnsi" w:eastAsiaTheme="minorEastAsia" w:hAnsi="Franklin Gothic Book" w:cstheme="minorBidi"/>
          <w:b/>
          <w:bCs/>
          <w:color w:val="000000" w:themeColor="text1"/>
          <w:kern w:val="24"/>
          <w:sz w:val="24"/>
          <w:szCs w:val="24"/>
          <w:lang w:eastAsia="en-GB"/>
        </w:rPr>
        <w:t>Peer to Peer</w:t>
      </w:r>
    </w:p>
    <w:p w14:paraId="103902EF" w14:textId="31C4D0F4" w:rsidR="00B420AF" w:rsidRPr="001B570B" w:rsidRDefault="00B420AF" w:rsidP="00056A8D">
      <w:pPr>
        <w:spacing w:before="120"/>
        <w:jc w:val="center"/>
        <w:rPr>
          <w:rFonts w:asciiTheme="minorHAnsi" w:hAnsiTheme="minorHAnsi"/>
          <w:b/>
        </w:rPr>
      </w:pPr>
      <w:r w:rsidRPr="001B570B">
        <w:rPr>
          <w:rFonts w:asciiTheme="minorHAnsi" w:hAnsiTheme="minorHAnsi"/>
          <w:b/>
        </w:rPr>
        <w:t xml:space="preserve">Figure </w:t>
      </w:r>
      <w:r w:rsidR="00772DDE" w:rsidRPr="001B570B">
        <w:rPr>
          <w:rFonts w:asciiTheme="minorHAnsi" w:hAnsiTheme="minorHAnsi"/>
          <w:b/>
        </w:rPr>
        <w:t xml:space="preserve">4. </w:t>
      </w:r>
      <w:r w:rsidRPr="001B570B">
        <w:rPr>
          <w:rFonts w:asciiTheme="minorHAnsi" w:hAnsiTheme="minorHAnsi"/>
          <w:b/>
        </w:rPr>
        <w:t xml:space="preserve">TAXII </w:t>
      </w:r>
      <w:r w:rsidR="001B570B" w:rsidRPr="001B570B">
        <w:rPr>
          <w:rFonts w:asciiTheme="minorHAnsi" w:hAnsiTheme="minorHAnsi"/>
          <w:b/>
        </w:rPr>
        <w:t>models supported</w:t>
      </w:r>
      <w:r w:rsidR="00D87D92" w:rsidRPr="00056A8D">
        <w:rPr>
          <w:rFonts w:asciiTheme="minorHAnsi" w:hAnsiTheme="minorHAnsi"/>
        </w:rPr>
        <w:t xml:space="preserve"> </w:t>
      </w:r>
      <w:r w:rsidR="00680563" w:rsidRPr="00056A8D">
        <w:rPr>
          <w:rFonts w:asciiTheme="minorHAnsi" w:hAnsiTheme="minorHAnsi"/>
        </w:rPr>
        <w:t>[i.</w:t>
      </w:r>
      <w:r w:rsidR="004D4B62">
        <w:rPr>
          <w:rFonts w:asciiTheme="minorHAnsi" w:hAnsiTheme="minorHAnsi"/>
        </w:rPr>
        <w:t>4</w:t>
      </w:r>
      <w:r w:rsidR="00680563" w:rsidRPr="00056A8D">
        <w:rPr>
          <w:rFonts w:asciiTheme="minorHAnsi" w:hAnsiTheme="minorHAnsi"/>
        </w:rPr>
        <w:t>]</w:t>
      </w:r>
    </w:p>
    <w:p w14:paraId="763242F1" w14:textId="6690DC95" w:rsidR="005F03E9" w:rsidRDefault="004D4B62" w:rsidP="00056A8D">
      <w:pPr>
        <w:spacing w:after="0"/>
        <w:jc w:val="center"/>
        <w:rPr>
          <w:rFonts w:asciiTheme="minorHAnsi" w:hAnsiTheme="minorHAnsi"/>
          <w:b/>
        </w:rPr>
      </w:pPr>
      <w:r>
        <w:rPr>
          <w:noProof/>
          <w:lang w:eastAsia="en-GB"/>
        </w:rPr>
        <w:drawing>
          <wp:inline distT="0" distB="0" distL="0" distR="0" wp14:anchorId="0969EE41" wp14:editId="4111509F">
            <wp:extent cx="2973993" cy="2493818"/>
            <wp:effectExtent l="0" t="0" r="0" b="0"/>
            <wp:docPr id="2056" name="Picture 8" descr="http://docs.oasis-open.org/cti/taxii/v1.1.1/csprd01/part1-overview/taxii-v1.1.1-csprd01-part1-overview_files/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http://docs.oasis-open.org/cti/taxii/v1.1.1/csprd01/part1-overview/taxii-v1.1.1-csprd01-part1-overview_files/image005.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76256" cy="2495715"/>
                    </a:xfrm>
                    <a:prstGeom prst="rect">
                      <a:avLst/>
                    </a:prstGeom>
                    <a:noFill/>
                    <a:extLst/>
                  </pic:spPr>
                </pic:pic>
              </a:graphicData>
            </a:graphic>
          </wp:inline>
        </w:drawing>
      </w:r>
    </w:p>
    <w:p w14:paraId="013F19A1" w14:textId="4F9BFC13" w:rsidR="005F03E9" w:rsidRDefault="005F03E9" w:rsidP="005F03E9">
      <w:pPr>
        <w:jc w:val="center"/>
      </w:pPr>
      <w:r>
        <w:rPr>
          <w:rFonts w:asciiTheme="minorHAnsi" w:hAnsiTheme="minorHAnsi"/>
          <w:b/>
        </w:rPr>
        <w:t xml:space="preserve">Figure 5. </w:t>
      </w:r>
      <w:r w:rsidRPr="00A60AA1">
        <w:rPr>
          <w:rFonts w:asciiTheme="minorHAnsi" w:hAnsiTheme="minorHAnsi"/>
          <w:b/>
        </w:rPr>
        <w:t xml:space="preserve">TAXII </w:t>
      </w:r>
      <w:r w:rsidR="004D4B62">
        <w:rPr>
          <w:rFonts w:asciiTheme="minorHAnsi" w:hAnsiTheme="minorHAnsi"/>
          <w:b/>
        </w:rPr>
        <w:t>specification components</w:t>
      </w:r>
      <w:r w:rsidR="00D87D92">
        <w:t xml:space="preserve"> [i.</w:t>
      </w:r>
      <w:r w:rsidR="004D4B62">
        <w:t>4</w:t>
      </w:r>
      <w:r w:rsidR="00D87D92">
        <w:t>]</w:t>
      </w:r>
    </w:p>
    <w:p w14:paraId="504EC697" w14:textId="6609B57A" w:rsidR="004D4B62" w:rsidRDefault="004D4B62" w:rsidP="00056A8D">
      <w:pPr>
        <w:spacing w:after="0"/>
      </w:pPr>
      <w:r w:rsidRPr="004D4B62">
        <w:lastRenderedPageBreak/>
        <w:t>TAXII 2.0 features being considered include: Publish and Subscribe model over an HTTP RESTful interface; TAXII Servers are plumbing for CTI between TAXII Clients; each TAXII Server has some defined out-of-the box channels that clients can publish or subscribe</w:t>
      </w:r>
      <w:r>
        <w:t xml:space="preserve">.  The model is depicted in </w:t>
      </w:r>
      <w:r w:rsidR="00BF5509">
        <w:t>f</w:t>
      </w:r>
      <w:r>
        <w:t>igure 6, below</w:t>
      </w:r>
    </w:p>
    <w:p w14:paraId="6E7270C3" w14:textId="526E0AB6" w:rsidR="004D4B62" w:rsidRDefault="004D4B62" w:rsidP="004D4B62">
      <w:pPr>
        <w:jc w:val="center"/>
        <w:rPr>
          <w:rFonts w:asciiTheme="minorHAnsi" w:hAnsiTheme="minorHAnsi"/>
          <w:b/>
        </w:rPr>
      </w:pPr>
      <w:r w:rsidRPr="004D4B62">
        <w:rPr>
          <w:rFonts w:asciiTheme="minorHAnsi" w:hAnsiTheme="minorHAnsi"/>
          <w:b/>
          <w:noProof/>
          <w:lang w:eastAsia="en-GB"/>
        </w:rPr>
        <w:drawing>
          <wp:inline distT="0" distB="0" distL="0" distR="0" wp14:anchorId="629DD2AA" wp14:editId="39E3535B">
            <wp:extent cx="4526134" cy="1369155"/>
            <wp:effectExtent l="0" t="0" r="8255" b="2540"/>
            <wp:docPr id="2058" name="Picture 10" descr="Channe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Picture 10" descr="Channel Concept"/>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37473" cy="1372585"/>
                    </a:xfrm>
                    <a:prstGeom prst="rect">
                      <a:avLst/>
                    </a:prstGeom>
                    <a:solidFill>
                      <a:schemeClr val="bg2">
                        <a:lumMod val="90000"/>
                      </a:schemeClr>
                    </a:solidFill>
                  </pic:spPr>
                </pic:pic>
              </a:graphicData>
            </a:graphic>
          </wp:inline>
        </w:drawing>
      </w:r>
    </w:p>
    <w:p w14:paraId="49D55365" w14:textId="3819C69A" w:rsidR="004D4B62" w:rsidRPr="00056A8D" w:rsidRDefault="004D4B62" w:rsidP="004D4B62">
      <w:pPr>
        <w:jc w:val="center"/>
        <w:rPr>
          <w:rFonts w:asciiTheme="minorHAnsi" w:hAnsiTheme="minorHAnsi"/>
        </w:rPr>
      </w:pPr>
      <w:r w:rsidRPr="002C74B5">
        <w:rPr>
          <w:rFonts w:asciiTheme="minorHAnsi" w:hAnsiTheme="minorHAnsi"/>
          <w:b/>
        </w:rPr>
        <w:t>Figure 6. TAXII 2.0 proposed channel architecture</w:t>
      </w:r>
      <w:r w:rsidRPr="00056A8D">
        <w:rPr>
          <w:rFonts w:asciiTheme="minorHAnsi" w:hAnsiTheme="minorHAnsi"/>
        </w:rPr>
        <w:t xml:space="preserve"> [i.5]</w:t>
      </w:r>
    </w:p>
    <w:p w14:paraId="6CC6F58D" w14:textId="6CBDE534" w:rsidR="005F71E5" w:rsidRDefault="005F71E5" w:rsidP="00A60AA1">
      <w:pPr>
        <w:pStyle w:val="Heading3"/>
      </w:pPr>
      <w:bookmarkStart w:id="93" w:name="_Toc451530784"/>
      <w:r>
        <w:t>4.</w:t>
      </w:r>
      <w:r w:rsidR="00A52ED5">
        <w:t>2</w:t>
      </w:r>
      <w:r>
        <w:t>.</w:t>
      </w:r>
      <w:r w:rsidR="00A52ED5">
        <w:t>4</w:t>
      </w:r>
      <w:r>
        <w:tab/>
      </w:r>
      <w:r w:rsidRPr="005F71E5">
        <w:t xml:space="preserve">CTI </w:t>
      </w:r>
      <w:r>
        <w:t>CybOX</w:t>
      </w:r>
      <w:r w:rsidRPr="005F71E5">
        <w:t xml:space="preserve"> Subcommittee</w:t>
      </w:r>
      <w:bookmarkEnd w:id="93"/>
    </w:p>
    <w:p w14:paraId="07F958DD" w14:textId="32CDE967" w:rsidR="00BF5509" w:rsidRDefault="00BF5509">
      <w:r w:rsidRPr="00BF5509">
        <w:t>CybOX provides a common structure for representing cyber observables across and among the operational areas of enterprise cyber security that improves the consistency, efficiency, and interoperability of deployed tools and processes, as well as increases overall situational awareness by enabling the potential for detailed automatable sharing, mapping, detecti</w:t>
      </w:r>
      <w:r>
        <w:t>on, and analysis heuristics.  The CybOX 2.1.1 objects and relationships are depicted in figure 7, below.</w:t>
      </w:r>
    </w:p>
    <w:p w14:paraId="27C707AE" w14:textId="11D1C612" w:rsidR="005F71E5" w:rsidRDefault="00BF5509">
      <w:r>
        <w:rPr>
          <w:noProof/>
          <w:lang w:eastAsia="en-GB"/>
        </w:rPr>
        <w:drawing>
          <wp:inline distT="0" distB="0" distL="0" distR="0" wp14:anchorId="4E75242A" wp14:editId="2ABBB79A">
            <wp:extent cx="6392771" cy="1539456"/>
            <wp:effectExtent l="0" t="0" r="8255" b="3810"/>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390142" cy="1538823"/>
                    </a:xfrm>
                    <a:prstGeom prst="rect">
                      <a:avLst/>
                    </a:prstGeom>
                    <a:ln/>
                  </pic:spPr>
                </pic:pic>
              </a:graphicData>
            </a:graphic>
          </wp:inline>
        </w:drawing>
      </w:r>
    </w:p>
    <w:p w14:paraId="694DC0A9" w14:textId="1C8D1F9D" w:rsidR="00BF5509" w:rsidRPr="00056A8D" w:rsidRDefault="00BF5509">
      <w:pPr>
        <w:jc w:val="center"/>
        <w:rPr>
          <w:rFonts w:asciiTheme="minorHAnsi" w:hAnsiTheme="minorHAnsi"/>
        </w:rPr>
      </w:pPr>
      <w:r w:rsidRPr="00056A8D">
        <w:rPr>
          <w:rFonts w:asciiTheme="minorHAnsi" w:hAnsiTheme="minorHAnsi"/>
          <w:b/>
        </w:rPr>
        <w:t>Figure 7. CybOX 2.1.1 objects and relationships</w:t>
      </w:r>
      <w:r w:rsidRPr="00056A8D">
        <w:rPr>
          <w:rFonts w:asciiTheme="minorHAnsi" w:hAnsiTheme="minorHAnsi"/>
        </w:rPr>
        <w:t xml:space="preserve"> [i.4]</w:t>
      </w:r>
    </w:p>
    <w:p w14:paraId="43227089" w14:textId="2B549A84" w:rsidR="00BF5509" w:rsidRDefault="00BF5509" w:rsidP="00056A8D">
      <w:r w:rsidRPr="00BF5509">
        <w:t>CybOX 3.0 features being considered include: High-level Change to create: 1)a Core/Common set ( Separation of Patterns and Instances, First-class Relationships, Cryptographic Hash Capture Refactoring) and 2) Object-related Changes Object Refactoring for Semantic Accuracy, Expansion of "Atomic" Objects)</w:t>
      </w:r>
      <w:r w:rsidR="001B70DE">
        <w:t>. [i.5]</w:t>
      </w:r>
    </w:p>
    <w:p w14:paraId="197E5AFB" w14:textId="586B5C06" w:rsidR="005F71E5" w:rsidRDefault="005F71E5" w:rsidP="00A60AA1">
      <w:pPr>
        <w:pStyle w:val="Heading3"/>
      </w:pPr>
      <w:bookmarkStart w:id="94" w:name="_Toc451530785"/>
      <w:r>
        <w:t>4.</w:t>
      </w:r>
      <w:r w:rsidR="00A52ED5">
        <w:t>2</w:t>
      </w:r>
      <w:r>
        <w:t>.</w:t>
      </w:r>
      <w:r w:rsidR="00A52ED5">
        <w:t>5</w:t>
      </w:r>
      <w:r>
        <w:tab/>
      </w:r>
      <w:r w:rsidRPr="005F71E5">
        <w:t xml:space="preserve">CTI </w:t>
      </w:r>
      <w:r>
        <w:t>Interoperability</w:t>
      </w:r>
      <w:r w:rsidRPr="005F71E5">
        <w:t xml:space="preserve"> Subcommittee</w:t>
      </w:r>
      <w:bookmarkEnd w:id="94"/>
    </w:p>
    <w:p w14:paraId="7FED0F69" w14:textId="29B63397" w:rsidR="00766D63" w:rsidRDefault="00150F96" w:rsidP="00766D63">
      <w:r w:rsidRPr="00150F96">
        <w:t xml:space="preserve">The subcommittee </w:t>
      </w:r>
      <w:r w:rsidR="00766D63">
        <w:t>helps guide adherence to CTI TC-promulgated standards and interoperability between CTI TC standards-based implementations, while encouraging standards maturity throughout the industry.  It also develops parameters and processes to allow CTI TC members to test/ validate, and where possible measure the maturity of another organization’s implementation. It identifies opportunities and approaches to promoting interoperability with externally-defined cyber threat intelligence standards and frameworks.</w:t>
      </w:r>
      <w:r w:rsidR="002C74B5">
        <w:t xml:space="preserve"> [i.5]</w:t>
      </w:r>
    </w:p>
    <w:p w14:paraId="68BCEA80" w14:textId="12593A0D" w:rsidR="005F71E5" w:rsidRPr="00F54712" w:rsidRDefault="00766D63">
      <w:r>
        <w:t>Its deliverables include guidelines, parameters and processes for testing, validating and measuring implementations' adherence to CTI standards, as well as proposals for promoting interoperability with other, externally-defined cyber threat intelligence standards and frameworks</w:t>
      </w:r>
      <w:r w:rsidR="001B70DE">
        <w:t>.</w:t>
      </w:r>
    </w:p>
    <w:p w14:paraId="327D2D2F" w14:textId="0414C730" w:rsidR="00E51BA9" w:rsidRDefault="00E51BA9" w:rsidP="00E51BA9">
      <w:pPr>
        <w:pStyle w:val="Heading2"/>
      </w:pPr>
      <w:bookmarkStart w:id="95" w:name="_Toc451530786"/>
      <w:bookmarkStart w:id="96" w:name="_Toc300919395"/>
      <w:bookmarkStart w:id="97" w:name="_Toc339380250"/>
      <w:bookmarkStart w:id="98" w:name="_Toc389039472"/>
      <w:bookmarkStart w:id="99" w:name="_Toc390250110"/>
      <w:r w:rsidRPr="00F54712">
        <w:t>4.</w:t>
      </w:r>
      <w:r w:rsidR="00A52ED5">
        <w:t>3</w:t>
      </w:r>
      <w:r w:rsidRPr="00F54712">
        <w:tab/>
      </w:r>
      <w:r w:rsidR="0047143D">
        <w:t xml:space="preserve">IETF </w:t>
      </w:r>
      <w:r w:rsidR="00206CCF" w:rsidRPr="00206CCF">
        <w:t>Managed Incident Lightweight Exchange</w:t>
      </w:r>
      <w:r w:rsidR="00434002">
        <w:t xml:space="preserve"> Working </w:t>
      </w:r>
      <w:r w:rsidR="0047143D">
        <w:t>Group</w:t>
      </w:r>
      <w:r w:rsidR="00587175">
        <w:t xml:space="preserve"> (mile)</w:t>
      </w:r>
      <w:bookmarkEnd w:id="95"/>
    </w:p>
    <w:p w14:paraId="073B2125" w14:textId="115E3583" w:rsidR="00754548" w:rsidRDefault="003D795C" w:rsidP="00F33D03">
      <w:r>
        <w:t>In the 1990s, the various network Computer Emergency Response Teams</w:t>
      </w:r>
      <w:r w:rsidR="00754548">
        <w:t xml:space="preserve"> under the leadership of the Carnegie Mellon CERT, FIRST, SurfNet Netherlands, and similar organizations focussed on the need to structure threat information for exchanging among themselves.  Circa 2006 an IETF</w:t>
      </w:r>
      <w:r w:rsidR="00754548" w:rsidRPr="00754548">
        <w:t xml:space="preserve"> working group known as INCH (Extended Incident Handling) </w:t>
      </w:r>
      <w:r w:rsidR="00754548">
        <w:t xml:space="preserve">was established </w:t>
      </w:r>
      <w:r w:rsidR="00754548" w:rsidRPr="00754548">
        <w:t>for the purposes of developing specifications</w:t>
      </w:r>
      <w:r w:rsidR="00754548">
        <w:t xml:space="preserve">.  It developed a number of guideline Internet Drafts for an incident description language, transport protocols, and other capabilities that were advanced under the name </w:t>
      </w:r>
      <w:r w:rsidR="00754548" w:rsidRPr="00754548">
        <w:t>The Incident Object Description Exchange Format</w:t>
      </w:r>
      <w:r w:rsidR="00754548">
        <w:t xml:space="preserve"> or IODEF.  </w:t>
      </w:r>
      <w:r w:rsidR="006F4DAA">
        <w:t xml:space="preserve">IODEF was also replicated </w:t>
      </w:r>
      <w:r w:rsidR="002E2247">
        <w:t xml:space="preserve">by </w:t>
      </w:r>
      <w:r w:rsidR="006F4DAA">
        <w:t xml:space="preserve"> </w:t>
      </w:r>
      <w:r w:rsidR="009066DD">
        <w:t>ITU-T</w:t>
      </w:r>
      <w:r w:rsidR="006F4DAA">
        <w:t>.</w:t>
      </w:r>
    </w:p>
    <w:p w14:paraId="02733D58" w14:textId="14AAE821" w:rsidR="00DB7018" w:rsidRDefault="00DB7018" w:rsidP="00F33D03">
      <w:r>
        <w:lastRenderedPageBreak/>
        <w:t xml:space="preserve">In 2011, in response to an increasing need for updates and extensions to IODEF and related new tools, the </w:t>
      </w:r>
      <w:r w:rsidRPr="00DB7018">
        <w:t>Managed Incident Lightweight Exchange Working Group (mile)</w:t>
      </w:r>
      <w:r>
        <w:t xml:space="preserve"> was chartered and has been active since.  </w:t>
      </w:r>
      <w:r w:rsidR="003D3B2D">
        <w:t>The working group develops standards to support computer and network security incident management.</w:t>
      </w:r>
      <w:r>
        <w:t xml:space="preserve"> It describes its role as:</w:t>
      </w:r>
    </w:p>
    <w:p w14:paraId="1A051597" w14:textId="4F8F73CE" w:rsidR="00DB7018" w:rsidRPr="00997FEF" w:rsidRDefault="00DB7018" w:rsidP="00A60AA1">
      <w:pPr>
        <w:pStyle w:val="Quote"/>
        <w:ind w:left="284"/>
        <w:rPr>
          <w:i w:val="0"/>
        </w:rPr>
      </w:pPr>
      <w:r w:rsidRPr="00DB7018">
        <w:t>The Managed Incident Lightweight Exchange (MILE) working group develops standards to support computer and network security incident management; an incident is an unplanned event that occurs in an information technology (IT) infrastructure. An incident could be a benign configuration issue, IT incident, a system compromise, socially engineered phishing attack, or a denial-of-service (DoS) attack, etc.  When an incident is detected, or suspected, there may be a need for organizations to collaborate. This collaboration effort may take several forms including joint analysis, information dissemination, and/or a coordinated operational response.  Examples of the response may include filing a report, notifying the source of the incident, requesting that a third party resolve/mitigate the incident, sharing select indicators of compromise, or requesting that the source be located. By sharing indicators of compromise associated with an incident or possible threat, the information becomes a proactive defense for others that may include mitigation options</w:t>
      </w:r>
      <w:r w:rsidR="00997FEF">
        <w:t xml:space="preserve">. </w:t>
      </w:r>
      <w:r w:rsidR="00997FEF" w:rsidRPr="00997FEF">
        <w:rPr>
          <w:i w:val="0"/>
        </w:rPr>
        <w:t>[</w:t>
      </w:r>
      <w:r w:rsidR="00751D2E">
        <w:rPr>
          <w:i w:val="0"/>
        </w:rPr>
        <w:t>i.7</w:t>
      </w:r>
      <w:r w:rsidR="00997FEF" w:rsidRPr="00997FEF">
        <w:rPr>
          <w:i w:val="0"/>
        </w:rPr>
        <w:t>]</w:t>
      </w:r>
    </w:p>
    <w:p w14:paraId="5019F34F" w14:textId="6637941E" w:rsidR="00434002" w:rsidRDefault="00C74DBA" w:rsidP="00F33D03">
      <w:r>
        <w:t>P</w:t>
      </w:r>
      <w:r w:rsidR="00B2090D">
        <w:t>latforms approved within IETF include the following</w:t>
      </w:r>
      <w:r w:rsidR="00434002" w:rsidRPr="00F54712">
        <w:t>.</w:t>
      </w:r>
      <w:r>
        <w:t>[i.7]</w:t>
      </w:r>
    </w:p>
    <w:p w14:paraId="6CF4A425" w14:textId="321D1B4F" w:rsidR="00C74DBA" w:rsidRPr="00056A8D" w:rsidRDefault="00C74DBA" w:rsidP="00056A8D">
      <w:pPr>
        <w:pStyle w:val="ListParagraph"/>
        <w:numPr>
          <w:ilvl w:val="0"/>
          <w:numId w:val="44"/>
        </w:numPr>
        <w:rPr>
          <w:lang w:val="fr-FR"/>
        </w:rPr>
      </w:pPr>
      <w:r w:rsidRPr="00056A8D">
        <w:rPr>
          <w:lang w:val="fr-FR"/>
        </w:rPr>
        <w:t>RFC</w:t>
      </w:r>
      <w:r>
        <w:rPr>
          <w:lang w:val="fr-FR"/>
        </w:rPr>
        <w:t xml:space="preserve"> </w:t>
      </w:r>
      <w:r w:rsidRPr="00056A8D">
        <w:rPr>
          <w:lang w:val="fr-FR"/>
        </w:rPr>
        <w:t>5070, ”Incident Object Description Exchange Format</w:t>
      </w:r>
      <w:r>
        <w:rPr>
          <w:lang w:val="fr-FR"/>
        </w:rPr>
        <w:t xml:space="preserve"> (IODEF)</w:t>
      </w:r>
      <w:r w:rsidRPr="00056A8D">
        <w:rPr>
          <w:lang w:val="fr-FR"/>
        </w:rPr>
        <w:t>”</w:t>
      </w:r>
    </w:p>
    <w:p w14:paraId="04AE3DD7" w14:textId="21AD6192" w:rsidR="00C74DBA" w:rsidRDefault="00C74DBA" w:rsidP="00056A8D">
      <w:pPr>
        <w:pStyle w:val="ListParagraph"/>
        <w:numPr>
          <w:ilvl w:val="0"/>
          <w:numId w:val="44"/>
        </w:numPr>
      </w:pPr>
      <w:r>
        <w:t xml:space="preserve">RFC 6545, </w:t>
      </w:r>
      <w:r w:rsidR="009814DE">
        <w:t>”</w:t>
      </w:r>
      <w:r>
        <w:t>Real-time Inter-network Defense (RID)”</w:t>
      </w:r>
    </w:p>
    <w:p w14:paraId="0F097ECA" w14:textId="1384D68A" w:rsidR="00C74DBA" w:rsidRDefault="00C74DBA" w:rsidP="00056A8D">
      <w:pPr>
        <w:pStyle w:val="ListParagraph"/>
        <w:numPr>
          <w:ilvl w:val="0"/>
          <w:numId w:val="44"/>
        </w:numPr>
      </w:pPr>
      <w:r>
        <w:t xml:space="preserve">RFC 6546, </w:t>
      </w:r>
      <w:r w:rsidR="009814DE">
        <w:t>”</w:t>
      </w:r>
      <w:r>
        <w:t>Transport of Real-time Inter-network Defense (RID) Messages over HTTP/TLS “</w:t>
      </w:r>
    </w:p>
    <w:p w14:paraId="13962C7E" w14:textId="6A271DF5" w:rsidR="00C74DBA" w:rsidRDefault="00C74DBA" w:rsidP="00C74DBA">
      <w:pPr>
        <w:pStyle w:val="ListParagraph"/>
        <w:numPr>
          <w:ilvl w:val="0"/>
          <w:numId w:val="44"/>
        </w:numPr>
      </w:pPr>
      <w:r>
        <w:t xml:space="preserve">RFC 6684, </w:t>
      </w:r>
      <w:r w:rsidR="009814DE">
        <w:t>”</w:t>
      </w:r>
      <w:r>
        <w:t>Guidelines and Template for Defining Extensions to IODEF”</w:t>
      </w:r>
    </w:p>
    <w:p w14:paraId="74E9438A" w14:textId="79B53830" w:rsidR="00526D65" w:rsidRDefault="00C74DBA" w:rsidP="00056A8D">
      <w:pPr>
        <w:pStyle w:val="ListParagraph"/>
        <w:numPr>
          <w:ilvl w:val="0"/>
          <w:numId w:val="44"/>
        </w:numPr>
      </w:pPr>
      <w:r>
        <w:t xml:space="preserve">RFC 6685, </w:t>
      </w:r>
      <w:r w:rsidR="009814DE">
        <w:t>”</w:t>
      </w:r>
      <w:r w:rsidR="00526D65">
        <w:t>Expert Review for Incident Object Description Exchange Format (IODEF) Extensions in IANA XML Registry</w:t>
      </w:r>
      <w:r>
        <w:t>”</w:t>
      </w:r>
    </w:p>
    <w:p w14:paraId="4A9A27B6" w14:textId="38C75949" w:rsidR="00526D65" w:rsidRDefault="00C74DBA" w:rsidP="00056A8D">
      <w:pPr>
        <w:pStyle w:val="ListParagraph"/>
        <w:numPr>
          <w:ilvl w:val="0"/>
          <w:numId w:val="44"/>
        </w:numPr>
      </w:pPr>
      <w:r>
        <w:t>RFC 7203,”</w:t>
      </w:r>
      <w:r w:rsidR="00526D65">
        <w:t>IODEF-extension for structured cybersecurity information</w:t>
      </w:r>
      <w:r>
        <w:t>”</w:t>
      </w:r>
    </w:p>
    <w:p w14:paraId="074757AB" w14:textId="58756DCE" w:rsidR="00C74DBA" w:rsidRDefault="00C74DBA" w:rsidP="00056A8D">
      <w:pPr>
        <w:pStyle w:val="ListParagraph"/>
        <w:numPr>
          <w:ilvl w:val="0"/>
          <w:numId w:val="44"/>
        </w:numPr>
      </w:pPr>
      <w:r>
        <w:t>RFC 7495, “IODEF Enumeration Reference Format”</w:t>
      </w:r>
    </w:p>
    <w:p w14:paraId="1BC5E5BE" w14:textId="0339A4E6" w:rsidR="00D72662" w:rsidRDefault="00D72662" w:rsidP="00A60AA1">
      <w:pPr>
        <w:spacing w:before="120"/>
      </w:pPr>
      <w:r>
        <w:t xml:space="preserve">The ITU-T Study Group 17 replicated </w:t>
      </w:r>
      <w:r w:rsidRPr="00D72662">
        <w:t xml:space="preserve">RFC6046 (RID) </w:t>
      </w:r>
      <w:r w:rsidR="004E5E3D">
        <w:t>as</w:t>
      </w:r>
      <w:r w:rsidRPr="00D72662">
        <w:t xml:space="preserve"> </w:t>
      </w:r>
      <w:r w:rsidR="009066DD">
        <w:t xml:space="preserve">Rec. </w:t>
      </w:r>
      <w:r w:rsidRPr="00D72662">
        <w:t>ITU-T</w:t>
      </w:r>
      <w:r>
        <w:t xml:space="preserve"> </w:t>
      </w:r>
      <w:r w:rsidRPr="00D72662">
        <w:t>X.1581</w:t>
      </w:r>
      <w:r>
        <w:t xml:space="preserve">, and </w:t>
      </w:r>
      <w:r w:rsidRPr="00D72662">
        <w:t>RFC6046 (RID) as</w:t>
      </w:r>
      <w:r w:rsidR="009066DD">
        <w:t xml:space="preserve"> Rec.</w:t>
      </w:r>
      <w:r w:rsidRPr="00D72662">
        <w:t xml:space="preserve"> ITU-T X.1581</w:t>
      </w:r>
      <w:r w:rsidR="00112268">
        <w:t>.  [</w:t>
      </w:r>
      <w:r w:rsidR="00751D2E">
        <w:t>i.7</w:t>
      </w:r>
      <w:r w:rsidR="00112268">
        <w:t>][</w:t>
      </w:r>
      <w:r w:rsidR="00751D2E">
        <w:t>i.8</w:t>
      </w:r>
      <w:r w:rsidR="00112268">
        <w:t>]</w:t>
      </w:r>
    </w:p>
    <w:p w14:paraId="0C4267B6" w14:textId="7D3A1F35" w:rsidR="00031F16" w:rsidRDefault="002A7D03" w:rsidP="00F33D03">
      <w:r>
        <w:t>Current new platforms being developed by the IETF mile group include</w:t>
      </w:r>
      <w:r w:rsidR="00031F16">
        <w:t xml:space="preserve"> the following.</w:t>
      </w:r>
      <w:r w:rsidR="00112268">
        <w:t xml:space="preserve"> [</w:t>
      </w:r>
      <w:r w:rsidR="00031F16">
        <w:t>i.7]</w:t>
      </w:r>
    </w:p>
    <w:p w14:paraId="5FD8108E" w14:textId="77777777" w:rsidR="00031F16" w:rsidRDefault="00031F16" w:rsidP="00056A8D">
      <w:pPr>
        <w:pStyle w:val="ListParagraph"/>
        <w:numPr>
          <w:ilvl w:val="0"/>
          <w:numId w:val="46"/>
        </w:numPr>
      </w:pPr>
      <w:r>
        <w:t>MILE Implementation Report, draft-ietf-mile-implementreport-07</w:t>
      </w:r>
    </w:p>
    <w:p w14:paraId="7EFFF804" w14:textId="77777777" w:rsidR="00031F16" w:rsidRDefault="00031F16" w:rsidP="00056A8D">
      <w:pPr>
        <w:pStyle w:val="ListParagraph"/>
        <w:numPr>
          <w:ilvl w:val="0"/>
          <w:numId w:val="46"/>
        </w:numPr>
      </w:pPr>
      <w:r>
        <w:t>IODEF Usage Guidance, draft-ietf-mile-iodef-guidance-05</w:t>
      </w:r>
    </w:p>
    <w:p w14:paraId="3CDAA8E4" w14:textId="77777777" w:rsidR="00031F16" w:rsidRDefault="00031F16" w:rsidP="00056A8D">
      <w:pPr>
        <w:pStyle w:val="ListParagraph"/>
        <w:numPr>
          <w:ilvl w:val="0"/>
          <w:numId w:val="46"/>
        </w:numPr>
      </w:pPr>
      <w:r>
        <w:t>The Incident Object Description Exchange Format v2, draft-ietf-mile-rfc5070-bis-21</w:t>
      </w:r>
    </w:p>
    <w:p w14:paraId="2B8DFAFC" w14:textId="77777777" w:rsidR="00031F16" w:rsidRDefault="00031F16" w:rsidP="00056A8D">
      <w:pPr>
        <w:pStyle w:val="ListParagraph"/>
        <w:numPr>
          <w:ilvl w:val="0"/>
          <w:numId w:val="46"/>
        </w:numPr>
      </w:pPr>
      <w:r>
        <w:t xml:space="preserve">Resource-Oriented Lightweight Indicator Exchange, draft-ietf-mile-rolie-01 </w:t>
      </w:r>
    </w:p>
    <w:p w14:paraId="120B5988" w14:textId="00E26C51" w:rsidR="002A7D03" w:rsidRDefault="00031F16" w:rsidP="00056A8D">
      <w:pPr>
        <w:pStyle w:val="ListParagraph"/>
        <w:numPr>
          <w:ilvl w:val="0"/>
          <w:numId w:val="46"/>
        </w:numPr>
      </w:pPr>
      <w:r>
        <w:t>XMPP Protocol Extensions for Use with IODEF, draft-ietf-mile-xmpp-grid-00</w:t>
      </w:r>
    </w:p>
    <w:p w14:paraId="0346677A" w14:textId="00CCB784" w:rsidR="002A7D03" w:rsidRPr="00F54712" w:rsidRDefault="002A7D03" w:rsidP="00A60AA1">
      <w:pPr>
        <w:spacing w:before="120"/>
      </w:pPr>
      <w:r>
        <w:t xml:space="preserve">The Implementation Report is useful in understanding the extent to which the </w:t>
      </w:r>
      <w:r w:rsidR="00A833FC">
        <w:t xml:space="preserve">IODEF </w:t>
      </w:r>
      <w:r>
        <w:t>platform has been used.</w:t>
      </w:r>
    </w:p>
    <w:p w14:paraId="3EFC6C57" w14:textId="57344C17" w:rsidR="00587175" w:rsidRDefault="00E51BA9" w:rsidP="006F4CF0">
      <w:pPr>
        <w:pStyle w:val="Heading2"/>
      </w:pPr>
      <w:bookmarkStart w:id="100" w:name="_Toc451530787"/>
      <w:r w:rsidRPr="00F54712">
        <w:t>4.</w:t>
      </w:r>
      <w:r w:rsidR="00F57728">
        <w:t>4</w:t>
      </w:r>
      <w:r w:rsidRPr="00F54712">
        <w:tab/>
      </w:r>
      <w:r w:rsidR="00D24A1A">
        <w:t xml:space="preserve">CSIRTGadgets </w:t>
      </w:r>
      <w:r w:rsidR="00A833FC" w:rsidRPr="00587175">
        <w:t>Collecti</w:t>
      </w:r>
      <w:r w:rsidR="00A833FC">
        <w:t xml:space="preserve">ve </w:t>
      </w:r>
      <w:r w:rsidR="00587175">
        <w:t xml:space="preserve">Intelligence </w:t>
      </w:r>
      <w:r w:rsidR="00A833FC">
        <w:t>Foundation</w:t>
      </w:r>
      <w:r w:rsidR="00587175">
        <w:t xml:space="preserve"> (CIF)</w:t>
      </w:r>
      <w:bookmarkEnd w:id="100"/>
    </w:p>
    <w:p w14:paraId="74D52836" w14:textId="77777777" w:rsidR="008970DC" w:rsidRDefault="008970DC" w:rsidP="00A60AA1">
      <w:r>
        <w:t>The CSIRT Gadgets Foundation was founded with a mission to directly engage both public and private sector CSIRTs as a means for evolving the internet into a more secure and resilient ecosystem. The Foundation has been organized as a non-profit organization in the United States. The Foundation promotes the development and stewardship of assets such as software, algorithms and best common practices that enable CSIRTs execute their missions. One of its existing initiatives is known as the Collective Intelligence Framework funded by the U.S. National Science Foundation for use and development among the university educational community.</w:t>
      </w:r>
    </w:p>
    <w:p w14:paraId="307491F6" w14:textId="0C58032C" w:rsidR="00434002" w:rsidRDefault="00D24A1A" w:rsidP="00A60AA1">
      <w:r w:rsidRPr="00D24A1A">
        <w:t xml:space="preserve">CIF allows you to combine known malicious threat information from many sources and use that information for identification (incident response), detection (IDS) and mitigation (null route). The most common types of threat intelligence warehoused in CIF are IP addresses, domains and </w:t>
      </w:r>
      <w:r w:rsidR="00A833FC">
        <w:t>URL</w:t>
      </w:r>
      <w:r w:rsidR="00A833FC" w:rsidRPr="00D24A1A">
        <w:t xml:space="preserve">s </w:t>
      </w:r>
      <w:r w:rsidRPr="00D24A1A">
        <w:t>that are observed to be related to malicious activity.</w:t>
      </w:r>
      <w:r>
        <w:t xml:space="preserve">  </w:t>
      </w:r>
      <w:r w:rsidR="002A1C5E">
        <w:t>CIF is used by the R</w:t>
      </w:r>
      <w:r w:rsidR="0073550D">
        <w:t>esearch and Education Networking Information Sharing and Analysis Center (R</w:t>
      </w:r>
      <w:r w:rsidR="002A1C5E">
        <w:t>EN-ISAC</w:t>
      </w:r>
      <w:r w:rsidR="0073550D">
        <w:t>)</w:t>
      </w:r>
      <w:r w:rsidR="002A1C5E">
        <w:t xml:space="preserve"> and the Anti-Phishing Working Group.</w:t>
      </w:r>
      <w:r w:rsidR="00A833FC">
        <w:t xml:space="preserve">  A Foundation information site is available at </w:t>
      </w:r>
      <w:hyperlink r:id="rId37" w:history="1">
        <w:r w:rsidR="00A833FC" w:rsidRPr="00A833FC">
          <w:rPr>
            <w:rStyle w:val="Hyperlink"/>
          </w:rPr>
          <w:t>http://csirtgadgets.org/</w:t>
        </w:r>
      </w:hyperlink>
      <w:r w:rsidR="00A833FC">
        <w:t>.</w:t>
      </w:r>
    </w:p>
    <w:p w14:paraId="0310450A" w14:textId="277E6948" w:rsidR="00F12649" w:rsidRDefault="00F12649" w:rsidP="00F12649">
      <w:pPr>
        <w:pStyle w:val="Heading2"/>
      </w:pPr>
      <w:bookmarkStart w:id="101" w:name="_Toc451530788"/>
      <w:r w:rsidRPr="00F54712">
        <w:t>4.</w:t>
      </w:r>
      <w:r w:rsidR="00F57728">
        <w:t>5</w:t>
      </w:r>
      <w:r w:rsidRPr="00F54712">
        <w:tab/>
      </w:r>
      <w:r w:rsidRPr="00D24A1A">
        <w:t>EU Advanced Cyber Defence Centre (ACDC)</w:t>
      </w:r>
      <w:bookmarkEnd w:id="101"/>
      <w:r w:rsidRPr="00D24A1A">
        <w:t xml:space="preserve"> </w:t>
      </w:r>
    </w:p>
    <w:p w14:paraId="22354CBA" w14:textId="3799AEC5" w:rsidR="001542E4" w:rsidRDefault="001542E4" w:rsidP="00F12649">
      <w:r>
        <w:t>On an even larger scale than the CIF project described in 4.</w:t>
      </w:r>
      <w:r w:rsidR="00F57728">
        <w:t>4</w:t>
      </w:r>
      <w:r>
        <w:t xml:space="preserve"> above, the European Commission helped initiate and fund the Advanced Cyber Defence Centre </w:t>
      </w:r>
      <w:r w:rsidR="00F12649">
        <w:t>project from early 2013 to mid-2015</w:t>
      </w:r>
      <w:r>
        <w:t>.  The objective was to establish a</w:t>
      </w:r>
      <w:r w:rsidR="00F12649">
        <w:t xml:space="preserve"> sustainable European centre for cyber defence, building on 8 networked support centres and </w:t>
      </w:r>
      <w:r>
        <w:t>one</w:t>
      </w:r>
      <w:r w:rsidR="00F12649">
        <w:t xml:space="preserve"> clearing house deployed during the project and enlarging the cyber-protection scope beyond botnets.  ACDC unites a community of 28 organisations from 14 countries, including Internet Service Providers, CERTs, law enforcement agencies, IT providers, National Research and Education Networks (NRENs), academia and critical infrastructure operators.</w:t>
      </w:r>
    </w:p>
    <w:p w14:paraId="71CD48F9" w14:textId="1DD29D93" w:rsidR="00F12649" w:rsidRPr="00F54712" w:rsidRDefault="001542E4" w:rsidP="00F12649">
      <w:r>
        <w:lastRenderedPageBreak/>
        <w:t>In the initial phase of the projects, there was an active threat information sharing specifications group that made use of existing platforms</w:t>
      </w:r>
      <w:r w:rsidR="0047230B">
        <w:t xml:space="preserve"> via a Tool Group.  </w:t>
      </w:r>
      <w:r w:rsidR="00D7556B">
        <w:t>The project ended in July 2015</w:t>
      </w:r>
      <w:r w:rsidR="000D4EC3">
        <w:t xml:space="preserve">, but Delft University of Technology maintains an information site at </w:t>
      </w:r>
      <w:hyperlink r:id="rId38" w:history="1">
        <w:r w:rsidR="000D4EC3" w:rsidRPr="000D4EC3">
          <w:rPr>
            <w:rStyle w:val="Hyperlink"/>
          </w:rPr>
          <w:t>http://www.tbm.tudelft.nl/en/research/projects/research-review/advanced-cyber-defense-center-acdc/</w:t>
        </w:r>
      </w:hyperlink>
    </w:p>
    <w:p w14:paraId="6B755B49" w14:textId="33F3DA5C" w:rsidR="0047143D" w:rsidRDefault="0047143D" w:rsidP="0047143D">
      <w:pPr>
        <w:pStyle w:val="Heading2"/>
      </w:pPr>
      <w:bookmarkStart w:id="102" w:name="_Toc451530789"/>
      <w:r w:rsidRPr="00F54712">
        <w:t>4.</w:t>
      </w:r>
      <w:r w:rsidR="00F57728">
        <w:t>6</w:t>
      </w:r>
      <w:r w:rsidRPr="00F54712">
        <w:tab/>
      </w:r>
      <w:r w:rsidR="005B079D">
        <w:t>Abuse</w:t>
      </w:r>
      <w:r w:rsidR="00D24A1A" w:rsidRPr="00D24A1A">
        <w:t>Helper</w:t>
      </w:r>
      <w:bookmarkEnd w:id="102"/>
    </w:p>
    <w:p w14:paraId="103BEFD7" w14:textId="67432316" w:rsidR="00434002" w:rsidRDefault="005B079D" w:rsidP="00D24A1A">
      <w:r>
        <w:t>AbuseHelper is</w:t>
      </w:r>
      <w:r w:rsidR="00D24A1A">
        <w:t xml:space="preserve"> </w:t>
      </w:r>
      <w:r w:rsidR="00F57728">
        <w:t>an</w:t>
      </w:r>
      <w:r w:rsidR="00D24A1A">
        <w:t xml:space="preserve"> open-source project initiated by CERT.FI and CERT.EE with Clarified Networks to automatically process incidents notifications</w:t>
      </w:r>
      <w:r w:rsidR="00434002" w:rsidRPr="00F54712">
        <w:t>.</w:t>
      </w:r>
      <w:r>
        <w:t xml:space="preserve">  Its use has been encouraged by ENISA as </w:t>
      </w:r>
      <w:r w:rsidRPr="005B079D">
        <w:t xml:space="preserve">a modular, </w:t>
      </w:r>
      <w:r>
        <w:t xml:space="preserve">potentially </w:t>
      </w:r>
      <w:r w:rsidRPr="005B079D">
        <w:t>scalable and robust framework to help in abuse handling. With Abuse Helper you can retrieve Internet Abuse Handling related information via several sources, you can then aggregate that information based on different keys, such as AS numbers or country codes and send out reports in different formats, via different transports and using different timings.</w:t>
      </w:r>
      <w:r w:rsidR="00E16613">
        <w:t xml:space="preserve">  </w:t>
      </w:r>
      <w:r w:rsidR="000D4EC3">
        <w:t>A</w:t>
      </w:r>
      <w:r w:rsidR="008454B8">
        <w:t xml:space="preserve">n instructive site is available at </w:t>
      </w:r>
      <w:hyperlink r:id="rId39" w:history="1">
        <w:r w:rsidR="008454B8" w:rsidRPr="000D53CC">
          <w:rPr>
            <w:rStyle w:val="Hyperlink"/>
          </w:rPr>
          <w:t>www.abusehelper.be</w:t>
        </w:r>
      </w:hyperlink>
      <w:r w:rsidR="008454B8">
        <w:t>.</w:t>
      </w:r>
    </w:p>
    <w:p w14:paraId="666CC95E" w14:textId="15A5F03E" w:rsidR="00F33D03" w:rsidRDefault="00F33D03" w:rsidP="00F33D03">
      <w:pPr>
        <w:pStyle w:val="Heading2"/>
      </w:pPr>
      <w:bookmarkStart w:id="103" w:name="_Toc451530790"/>
      <w:r w:rsidRPr="00F54712">
        <w:t>4.</w:t>
      </w:r>
      <w:r w:rsidR="00F57728">
        <w:t>7</w:t>
      </w:r>
      <w:r w:rsidRPr="00F54712">
        <w:tab/>
      </w:r>
      <w:r w:rsidR="00D24A1A" w:rsidRPr="00D24A1A">
        <w:t>OMG Threat Modelling Working Group</w:t>
      </w:r>
      <w:bookmarkEnd w:id="103"/>
      <w:r w:rsidR="00D24A1A" w:rsidRPr="00D24A1A">
        <w:t xml:space="preserve"> </w:t>
      </w:r>
    </w:p>
    <w:p w14:paraId="7676192D" w14:textId="181A8235" w:rsidR="00F33D03" w:rsidRDefault="00DD1E1B" w:rsidP="00D24A1A">
      <w:r>
        <w:t xml:space="preserve">The Object Management Group has several initiatives related to the sharing of cyber threat information. The most prominent is a </w:t>
      </w:r>
      <w:r w:rsidR="00D24A1A">
        <w:t xml:space="preserve">proposal for a combined risk-threat information model that incorporates STIX (among other things).  </w:t>
      </w:r>
      <w:r>
        <w:t>It is e</w:t>
      </w:r>
      <w:r w:rsidR="00D24A1A">
        <w:t>xpected to cover a broader scope (cyber and physical, threat and risk) in order to coordinate across these domains but does not seek to re-define a model within the domain to the low level that STIX and CybOX</w:t>
      </w:r>
      <w:r w:rsidR="00F33D03" w:rsidRPr="00F54712">
        <w:t>.</w:t>
      </w:r>
      <w:r>
        <w:t xml:space="preserve">  </w:t>
      </w:r>
      <w:r w:rsidR="00566758">
        <w:t xml:space="preserve">A </w:t>
      </w:r>
      <w:r w:rsidR="000F7A38">
        <w:t xml:space="preserve">cross domain </w:t>
      </w:r>
      <w:r w:rsidR="00566758">
        <w:t>Threat and Risk Community</w:t>
      </w:r>
      <w:r w:rsidR="000F7A38">
        <w:t xml:space="preserve"> site that builds on OASIS CTI platforms</w:t>
      </w:r>
      <w:r w:rsidR="00566758">
        <w:t xml:space="preserve"> exists at </w:t>
      </w:r>
      <w:hyperlink r:id="rId40" w:history="1">
        <w:r w:rsidR="00566758" w:rsidRPr="000D53CC">
          <w:rPr>
            <w:rStyle w:val="Hyperlink"/>
          </w:rPr>
          <w:t>www.threatrisk.org</w:t>
        </w:r>
      </w:hyperlink>
      <w:r w:rsidR="00566758">
        <w:t>.</w:t>
      </w:r>
      <w:r w:rsidR="000D4EC3">
        <w:t xml:space="preserve"> </w:t>
      </w:r>
    </w:p>
    <w:p w14:paraId="2BB0C11F" w14:textId="19FE278F" w:rsidR="00F33D03" w:rsidRDefault="00F33D03" w:rsidP="00F33D03">
      <w:pPr>
        <w:pStyle w:val="Heading2"/>
      </w:pPr>
      <w:bookmarkStart w:id="104" w:name="_Toc451530791"/>
      <w:r w:rsidRPr="00F54712">
        <w:t>4.</w:t>
      </w:r>
      <w:r w:rsidR="00F57728">
        <w:t>8</w:t>
      </w:r>
      <w:r w:rsidRPr="00F54712">
        <w:tab/>
      </w:r>
      <w:r w:rsidRPr="00F33D03">
        <w:t>ITU-T SG17</w:t>
      </w:r>
      <w:bookmarkEnd w:id="104"/>
    </w:p>
    <w:p w14:paraId="4E8F5340" w14:textId="2CB51847" w:rsidR="00937A45" w:rsidRDefault="00907CB0" w:rsidP="00F33D03">
      <w:r>
        <w:t xml:space="preserve">The Cybersecurity Rapporteur group within ITU-T Study Group 17 began in 2009 to develop a comprehensive initiative to identify and in some cases replicate structured cybersecurity information sharing platforms.  The general framework was designated CYBEX </w:t>
      </w:r>
      <w:r w:rsidR="00937A45">
        <w:t>(</w:t>
      </w:r>
      <w:r>
        <w:t>Cybersecurity Information Exchange</w:t>
      </w:r>
      <w:r w:rsidR="00937A45">
        <w:t>) and an extensive series of specifications have been prepared.</w:t>
      </w:r>
      <w:r>
        <w:t xml:space="preserve"> </w:t>
      </w:r>
      <w:r w:rsidR="00112268">
        <w:t>[</w:t>
      </w:r>
      <w:r w:rsidR="00031F16">
        <w:t>i.</w:t>
      </w:r>
      <w:r w:rsidR="000D76BD">
        <w:t>8</w:t>
      </w:r>
      <w:r w:rsidR="00112268">
        <w:t>]</w:t>
      </w:r>
      <w:r>
        <w:t xml:space="preserve"> </w:t>
      </w:r>
    </w:p>
    <w:p w14:paraId="60EA82C6" w14:textId="531400E5" w:rsidR="00B930AC" w:rsidRDefault="00B930AC" w:rsidP="00056A8D">
      <w:pPr>
        <w:pStyle w:val="ListParagraph"/>
        <w:numPr>
          <w:ilvl w:val="0"/>
          <w:numId w:val="48"/>
        </w:numPr>
      </w:pPr>
      <w:r>
        <w:t xml:space="preserve">X.1500, “Overview of cybersecurity information exchange” </w:t>
      </w:r>
    </w:p>
    <w:p w14:paraId="1FA7D7C0" w14:textId="37ECC645" w:rsidR="00B930AC" w:rsidRDefault="00B930AC" w:rsidP="00056A8D">
      <w:pPr>
        <w:pStyle w:val="ListParagraph"/>
        <w:numPr>
          <w:ilvl w:val="0"/>
          <w:numId w:val="48"/>
        </w:numPr>
      </w:pPr>
      <w:r>
        <w:t xml:space="preserve">X.1500.1, “Procedures for the registration of arcs under the object identifier arc for cybersecurity information exchange” </w:t>
      </w:r>
    </w:p>
    <w:p w14:paraId="050C90DC" w14:textId="3ABFDC88" w:rsidR="00B930AC" w:rsidRDefault="00B930AC" w:rsidP="00056A8D">
      <w:pPr>
        <w:pStyle w:val="ListParagraph"/>
        <w:numPr>
          <w:ilvl w:val="0"/>
          <w:numId w:val="48"/>
        </w:numPr>
      </w:pPr>
      <w:r>
        <w:t xml:space="preserve">X.1520, “Common vulnerabilities and exposures” </w:t>
      </w:r>
    </w:p>
    <w:p w14:paraId="4E1DEC90" w14:textId="47A594DB" w:rsidR="00B930AC" w:rsidRDefault="00B930AC" w:rsidP="00056A8D">
      <w:pPr>
        <w:pStyle w:val="ListParagraph"/>
        <w:numPr>
          <w:ilvl w:val="0"/>
          <w:numId w:val="48"/>
        </w:numPr>
      </w:pPr>
      <w:r>
        <w:t xml:space="preserve">X.1521, “Common vulnerability scoring system” </w:t>
      </w:r>
    </w:p>
    <w:p w14:paraId="6D092355" w14:textId="7F688B00" w:rsidR="00B930AC" w:rsidRDefault="00B930AC" w:rsidP="00056A8D">
      <w:pPr>
        <w:pStyle w:val="ListParagraph"/>
        <w:numPr>
          <w:ilvl w:val="0"/>
          <w:numId w:val="48"/>
        </w:numPr>
      </w:pPr>
      <w:r>
        <w:t xml:space="preserve">X.1524, “Common weakness enumeration” </w:t>
      </w:r>
    </w:p>
    <w:p w14:paraId="129D579D" w14:textId="50EC78C1" w:rsidR="00B930AC" w:rsidRDefault="00B930AC" w:rsidP="00056A8D">
      <w:pPr>
        <w:pStyle w:val="ListParagraph"/>
        <w:numPr>
          <w:ilvl w:val="0"/>
          <w:numId w:val="48"/>
        </w:numPr>
      </w:pPr>
      <w:r>
        <w:t xml:space="preserve">X.1525, “Common weakness scoring system” </w:t>
      </w:r>
    </w:p>
    <w:p w14:paraId="3936CC85" w14:textId="108B115D" w:rsidR="00B930AC" w:rsidRDefault="00B930AC" w:rsidP="00056A8D">
      <w:pPr>
        <w:pStyle w:val="ListParagraph"/>
        <w:numPr>
          <w:ilvl w:val="0"/>
          <w:numId w:val="48"/>
        </w:numPr>
      </w:pPr>
      <w:r>
        <w:t xml:space="preserve">X.1526, “Language for the open definition of vulnerabilities and for the assessment of a system state” </w:t>
      </w:r>
    </w:p>
    <w:p w14:paraId="0650E3C9" w14:textId="3BEF0081" w:rsidR="00B930AC" w:rsidRDefault="00B930AC" w:rsidP="00056A8D">
      <w:pPr>
        <w:pStyle w:val="ListParagraph"/>
        <w:numPr>
          <w:ilvl w:val="0"/>
          <w:numId w:val="48"/>
        </w:numPr>
      </w:pPr>
      <w:r>
        <w:t>X.1528, “Common platform enumeration”</w:t>
      </w:r>
    </w:p>
    <w:p w14:paraId="683F44D9" w14:textId="3E3D99E3" w:rsidR="00B930AC" w:rsidRDefault="00B930AC" w:rsidP="00056A8D">
      <w:pPr>
        <w:pStyle w:val="ListParagraph"/>
        <w:numPr>
          <w:ilvl w:val="0"/>
          <w:numId w:val="48"/>
        </w:numPr>
      </w:pPr>
      <w:r>
        <w:t xml:space="preserve">X.1528.1, “Common platform enumeration naming” </w:t>
      </w:r>
    </w:p>
    <w:p w14:paraId="5E4126D3" w14:textId="645CCA82" w:rsidR="00B930AC" w:rsidRDefault="00B930AC" w:rsidP="00056A8D">
      <w:pPr>
        <w:pStyle w:val="ListParagraph"/>
        <w:numPr>
          <w:ilvl w:val="0"/>
          <w:numId w:val="48"/>
        </w:numPr>
      </w:pPr>
      <w:r>
        <w:t xml:space="preserve">X.1528.2, “Common platform enumeration name matching” </w:t>
      </w:r>
    </w:p>
    <w:p w14:paraId="047B5F5F" w14:textId="42A529EC" w:rsidR="00B930AC" w:rsidRDefault="00B930AC" w:rsidP="00056A8D">
      <w:pPr>
        <w:pStyle w:val="ListParagraph"/>
        <w:numPr>
          <w:ilvl w:val="0"/>
          <w:numId w:val="48"/>
        </w:numPr>
      </w:pPr>
      <w:r>
        <w:t xml:space="preserve">X.1528.3, “Common platform enumeration dictionary” </w:t>
      </w:r>
    </w:p>
    <w:p w14:paraId="0C067683" w14:textId="631FB0AE" w:rsidR="00B930AC" w:rsidRDefault="00B930AC" w:rsidP="00056A8D">
      <w:pPr>
        <w:pStyle w:val="ListParagraph"/>
        <w:numPr>
          <w:ilvl w:val="0"/>
          <w:numId w:val="48"/>
        </w:numPr>
      </w:pPr>
      <w:r>
        <w:t xml:space="preserve">X.1528.4, “Common platform enumeration applicability language” </w:t>
      </w:r>
    </w:p>
    <w:p w14:paraId="6EFD3F80" w14:textId="08875209" w:rsidR="00B930AC" w:rsidRPr="00056A8D" w:rsidRDefault="00B930AC" w:rsidP="00056A8D">
      <w:pPr>
        <w:pStyle w:val="ListParagraph"/>
        <w:numPr>
          <w:ilvl w:val="0"/>
          <w:numId w:val="48"/>
        </w:numPr>
        <w:rPr>
          <w:lang w:val="fr-FR"/>
        </w:rPr>
      </w:pPr>
      <w:r w:rsidRPr="00056A8D">
        <w:rPr>
          <w:lang w:val="fr-FR"/>
        </w:rPr>
        <w:t>X.1541, “Incident object description exchange format</w:t>
      </w:r>
      <w:r w:rsidR="00A37A1C" w:rsidRPr="00056A8D">
        <w:rPr>
          <w:lang w:val="fr-FR"/>
        </w:rPr>
        <w:t>”</w:t>
      </w:r>
      <w:r w:rsidRPr="00056A8D">
        <w:rPr>
          <w:lang w:val="fr-FR"/>
        </w:rPr>
        <w:t xml:space="preserve"> </w:t>
      </w:r>
    </w:p>
    <w:p w14:paraId="047A0F62" w14:textId="1B8F5DDC" w:rsidR="00B930AC" w:rsidRDefault="00B930AC" w:rsidP="00056A8D">
      <w:pPr>
        <w:pStyle w:val="ListParagraph"/>
        <w:numPr>
          <w:ilvl w:val="0"/>
          <w:numId w:val="48"/>
        </w:numPr>
      </w:pPr>
      <w:r>
        <w:t>X.1544, “Common attack pattern enumeration and classification</w:t>
      </w:r>
      <w:r w:rsidR="00A37A1C">
        <w:t>”</w:t>
      </w:r>
      <w:r>
        <w:t xml:space="preserve"> </w:t>
      </w:r>
    </w:p>
    <w:p w14:paraId="59ACDC12" w14:textId="4A62DC37" w:rsidR="00B930AC" w:rsidRDefault="00B930AC" w:rsidP="00056A8D">
      <w:pPr>
        <w:pStyle w:val="ListParagraph"/>
        <w:numPr>
          <w:ilvl w:val="0"/>
          <w:numId w:val="48"/>
        </w:numPr>
      </w:pPr>
      <w:r>
        <w:t>X.1546, “Malware attribute enumeration and characterization</w:t>
      </w:r>
      <w:r w:rsidR="00A37A1C">
        <w:t>”</w:t>
      </w:r>
      <w:r>
        <w:t xml:space="preserve"> </w:t>
      </w:r>
    </w:p>
    <w:p w14:paraId="57838497" w14:textId="4DA7059E" w:rsidR="00B930AC" w:rsidRDefault="00B930AC" w:rsidP="00056A8D">
      <w:pPr>
        <w:pStyle w:val="ListParagraph"/>
        <w:numPr>
          <w:ilvl w:val="0"/>
          <w:numId w:val="48"/>
        </w:numPr>
      </w:pPr>
      <w:r>
        <w:t>X.1570, “Discovery mechanisms in the exchange of cybersecurity information</w:t>
      </w:r>
      <w:r w:rsidR="00A37A1C">
        <w:t>”</w:t>
      </w:r>
      <w:r>
        <w:t xml:space="preserve"> </w:t>
      </w:r>
    </w:p>
    <w:p w14:paraId="6B827DD4" w14:textId="66108421" w:rsidR="00B930AC" w:rsidRDefault="00B930AC" w:rsidP="00056A8D">
      <w:pPr>
        <w:pStyle w:val="ListParagraph"/>
        <w:numPr>
          <w:ilvl w:val="0"/>
          <w:numId w:val="48"/>
        </w:numPr>
      </w:pPr>
      <w:r>
        <w:t>X.1580, “Real-time inter-network defence</w:t>
      </w:r>
      <w:r w:rsidR="00A37A1C">
        <w:t>”</w:t>
      </w:r>
      <w:r>
        <w:t xml:space="preserve"> </w:t>
      </w:r>
    </w:p>
    <w:p w14:paraId="08221A37" w14:textId="22A9E392" w:rsidR="00B930AC" w:rsidRDefault="00B930AC" w:rsidP="00056A8D">
      <w:pPr>
        <w:pStyle w:val="ListParagraph"/>
        <w:numPr>
          <w:ilvl w:val="0"/>
          <w:numId w:val="48"/>
        </w:numPr>
      </w:pPr>
      <w:r>
        <w:t>X.1581, “Transport of real-time inter-network defence messages</w:t>
      </w:r>
      <w:r w:rsidR="00A37A1C">
        <w:t>”</w:t>
      </w:r>
      <w:r>
        <w:t xml:space="preserve"> </w:t>
      </w:r>
    </w:p>
    <w:p w14:paraId="6A5C931F" w14:textId="6A8C1BFF" w:rsidR="00B930AC" w:rsidRDefault="00B930AC" w:rsidP="00056A8D">
      <w:pPr>
        <w:pStyle w:val="ListParagraph"/>
        <w:numPr>
          <w:ilvl w:val="0"/>
          <w:numId w:val="48"/>
        </w:numPr>
      </w:pPr>
      <w:r>
        <w:t>X.1582, “Transport protocols supporting cybersecurity information exchange</w:t>
      </w:r>
      <w:r w:rsidR="00A37A1C">
        <w:t>”</w:t>
      </w:r>
    </w:p>
    <w:p w14:paraId="6C0D6066" w14:textId="3F5B8CEE" w:rsidR="00937A45" w:rsidRDefault="00937A45" w:rsidP="00937A45">
      <w:r>
        <w:t xml:space="preserve">Current new </w:t>
      </w:r>
      <w:r w:rsidR="00E34884">
        <w:t xml:space="preserve">threat information exchange </w:t>
      </w:r>
      <w:r>
        <w:t>platforms being developed by the ITU-T Cybersecurity group include the following. [i.9]</w:t>
      </w:r>
    </w:p>
    <w:p w14:paraId="7A6BDF23" w14:textId="77777777" w:rsidR="00937A45" w:rsidRPr="00056A8D" w:rsidRDefault="00937A45" w:rsidP="00056A8D">
      <w:pPr>
        <w:pStyle w:val="ListParagraph"/>
        <w:numPr>
          <w:ilvl w:val="0"/>
          <w:numId w:val="47"/>
        </w:numPr>
        <w:rPr>
          <w:lang w:val="fr-FR"/>
        </w:rPr>
      </w:pPr>
      <w:r w:rsidRPr="00056A8D">
        <w:rPr>
          <w:lang w:val="fr-FR"/>
        </w:rPr>
        <w:t>X.1542, Session information message exchange format</w:t>
      </w:r>
    </w:p>
    <w:p w14:paraId="175C3029" w14:textId="77777777" w:rsidR="00937A45" w:rsidRDefault="00937A45" w:rsidP="00056A8D">
      <w:pPr>
        <w:pStyle w:val="ListParagraph"/>
        <w:numPr>
          <w:ilvl w:val="0"/>
          <w:numId w:val="47"/>
        </w:numPr>
      </w:pPr>
      <w:r>
        <w:t>X.cogent, Design considerations for improved end-user perception of trustworthiness indicators</w:t>
      </w:r>
    </w:p>
    <w:p w14:paraId="46B064D8" w14:textId="77777777" w:rsidR="00937A45" w:rsidRDefault="00937A45" w:rsidP="00056A8D">
      <w:pPr>
        <w:pStyle w:val="ListParagraph"/>
        <w:numPr>
          <w:ilvl w:val="0"/>
          <w:numId w:val="47"/>
        </w:numPr>
      </w:pPr>
      <w:r>
        <w:t>X.metric, Metrics for evaluating threat and resilience in cyberspace</w:t>
      </w:r>
    </w:p>
    <w:p w14:paraId="36ED79C9" w14:textId="704E424E" w:rsidR="00907CB0" w:rsidRDefault="00937A45" w:rsidP="00056A8D">
      <w:pPr>
        <w:pStyle w:val="ListParagraph"/>
        <w:numPr>
          <w:ilvl w:val="0"/>
          <w:numId w:val="47"/>
        </w:numPr>
      </w:pPr>
      <w:r>
        <w:t>X.nessa, Access control models for incidents exchange networks</w:t>
      </w:r>
    </w:p>
    <w:p w14:paraId="120FDD5E" w14:textId="66DC4A3E" w:rsidR="00DB4D72" w:rsidRDefault="00DB4D72" w:rsidP="00DB4D72">
      <w:pPr>
        <w:pStyle w:val="Heading2"/>
      </w:pPr>
      <w:bookmarkStart w:id="105" w:name="_Toc451530792"/>
      <w:r w:rsidRPr="00F54712">
        <w:lastRenderedPageBreak/>
        <w:t>4.</w:t>
      </w:r>
      <w:r w:rsidR="00E900D9">
        <w:t>9</w:t>
      </w:r>
      <w:r w:rsidRPr="00F54712">
        <w:tab/>
      </w:r>
      <w:r>
        <w:t>Open Threat Exchange</w:t>
      </w:r>
      <w:r w:rsidR="00522737" w:rsidRPr="00522737">
        <w:t>™</w:t>
      </w:r>
      <w:r>
        <w:t xml:space="preserve"> (OTX</w:t>
      </w:r>
      <w:r w:rsidR="00764FB4" w:rsidRPr="00522737">
        <w:t>™</w:t>
      </w:r>
      <w:r>
        <w:t>)</w:t>
      </w:r>
      <w:bookmarkEnd w:id="105"/>
    </w:p>
    <w:p w14:paraId="05AC1B3F" w14:textId="09B9390B" w:rsidR="00DB4D72" w:rsidRDefault="00DB4D72" w:rsidP="00DB4D72">
      <w:r>
        <w:rPr>
          <w:lang w:val="en"/>
        </w:rPr>
        <w:t xml:space="preserve">AlienVault is the developer of the </w:t>
      </w:r>
      <w:hyperlink r:id="rId41" w:tooltip="OSSIM" w:history="1">
        <w:r>
          <w:rPr>
            <w:rStyle w:val="Hyperlink"/>
            <w:lang w:val="en"/>
          </w:rPr>
          <w:t>Open Source Security Information Management</w:t>
        </w:r>
      </w:hyperlink>
      <w:r>
        <w:rPr>
          <w:lang w:val="en"/>
        </w:rPr>
        <w:t xml:space="preserve"> (OSSIM).  </w:t>
      </w:r>
      <w:r>
        <w:t>Its vision</w:t>
      </w:r>
      <w:r w:rsidRPr="00862EE7">
        <w:t xml:space="preserve"> is for companies and government agencies to gather and share relevant, timely, and accurate information about new or ongoing cyberattacks and threats as quickly as possible to avoid major breaches (or minimize the damage from an attack). AlienVault’s Open Threat Exchange</w:t>
      </w:r>
      <w:r w:rsidR="00522737" w:rsidRPr="00522737">
        <w:t>™</w:t>
      </w:r>
      <w:r w:rsidRPr="00862EE7">
        <w:t xml:space="preserve"> (OTX) </w:t>
      </w:r>
      <w:r>
        <w:t>is its principle platform.</w:t>
      </w:r>
    </w:p>
    <w:p w14:paraId="036CC88B" w14:textId="71FE6BC7" w:rsidR="00580617" w:rsidRDefault="00580617" w:rsidP="00BC1F5F">
      <w:pPr>
        <w:pStyle w:val="NO"/>
      </w:pPr>
      <w:r>
        <w:t>NOTE</w:t>
      </w:r>
      <w:r w:rsidRPr="00580617">
        <w:t xml:space="preserve">: </w:t>
      </w:r>
      <w:r>
        <w:tab/>
      </w:r>
      <w:r w:rsidRPr="00862EE7">
        <w:t>Open Threat Exchange</w:t>
      </w:r>
      <w:r w:rsidRPr="00522737">
        <w:t>™</w:t>
      </w:r>
      <w:r w:rsidRPr="00862EE7">
        <w:t xml:space="preserve"> </w:t>
      </w:r>
      <w:r w:rsidRPr="00580617">
        <w:t xml:space="preserve">is the trade name of a product supplied by </w:t>
      </w:r>
      <w:r w:rsidRPr="00862EE7">
        <w:t>AlienVault</w:t>
      </w:r>
      <w:r>
        <w:t xml:space="preserve">. </w:t>
      </w:r>
      <w:r w:rsidRPr="00580617">
        <w:t>This information is given for the convenience of users of the present document and does not constitute an endorsement by ETSI of the product named. Equivalent products may be used if they can be shown to lead to the same results."</w:t>
      </w:r>
    </w:p>
    <w:p w14:paraId="369DE6ED" w14:textId="12E7C25E" w:rsidR="00DB4D72" w:rsidRDefault="00DB4D72" w:rsidP="00DB4D72">
      <w:r w:rsidRPr="00862EE7">
        <w:t>AlienVault OTX</w:t>
      </w:r>
      <w:r w:rsidR="00764FB4" w:rsidRPr="00522737">
        <w:t>™</w:t>
      </w:r>
      <w:r w:rsidRPr="00862EE7">
        <w:t xml:space="preserve"> provides open access to a global community of threat researchers and security professionals. It delivers community-generated threat data, enables collaborative research, and automates the process of updating </w:t>
      </w:r>
      <w:r w:rsidR="00B90250">
        <w:t>a</w:t>
      </w:r>
      <w:r w:rsidR="00B90250" w:rsidRPr="00862EE7">
        <w:t xml:space="preserve"> </w:t>
      </w:r>
      <w:r w:rsidRPr="00862EE7">
        <w:t>security infrastructure with threat data from any source. OTX enables anyone in the security community to actively discuss, research, validate, and share the latest threat data, trends, and techniques, strengthening defences while helping others do the same.</w:t>
      </w:r>
    </w:p>
    <w:p w14:paraId="62B0DDEC" w14:textId="0C2E39E0" w:rsidR="00DB4D72" w:rsidRDefault="00DB4D72" w:rsidP="00DB4D72">
      <w:pPr>
        <w:pStyle w:val="Heading2"/>
      </w:pPr>
      <w:bookmarkStart w:id="106" w:name="_Toc451530793"/>
      <w:r w:rsidRPr="00F54712">
        <w:t>4.</w:t>
      </w:r>
      <w:r w:rsidR="00B90250">
        <w:t>10</w:t>
      </w:r>
      <w:r w:rsidRPr="00F54712">
        <w:tab/>
      </w:r>
      <w:r w:rsidRPr="00F33D03">
        <w:t>OpenIOC</w:t>
      </w:r>
      <w:r w:rsidR="006B486D">
        <w:t xml:space="preserve"> Framework</w:t>
      </w:r>
      <w:bookmarkEnd w:id="106"/>
    </w:p>
    <w:p w14:paraId="363EA00B" w14:textId="6E5914AE" w:rsidR="00DB4D72" w:rsidRDefault="006B486D" w:rsidP="00DB4D72">
      <w:r>
        <w:t>The OPenICO framework is an</w:t>
      </w:r>
      <w:r w:rsidR="006454B4">
        <w:t xml:space="preserve"> information exchange </w:t>
      </w:r>
      <w:r w:rsidR="00DB4D72">
        <w:t xml:space="preserve">specification </w:t>
      </w:r>
      <w:r w:rsidR="006454B4">
        <w:t xml:space="preserve">that </w:t>
      </w:r>
      <w:r w:rsidR="00DB4D72">
        <w:t>describe</w:t>
      </w:r>
      <w:r w:rsidR="006454B4">
        <w:t>s</w:t>
      </w:r>
      <w:r w:rsidR="00DB4D72">
        <w:t xml:space="preserve"> Indicators of Compromise</w:t>
      </w:r>
      <w:r w:rsidR="006454B4">
        <w:t xml:space="preserve"> </w:t>
      </w:r>
      <w:r>
        <w:t>and is managed by</w:t>
      </w:r>
      <w:r w:rsidR="006454B4">
        <w:t xml:space="preserve"> an open developer community.</w:t>
      </w:r>
      <w:r w:rsidR="00DB4D72">
        <w:t xml:space="preserve">  </w:t>
      </w:r>
      <w:r w:rsidR="006454B4">
        <w:t>OpenIOC a</w:t>
      </w:r>
      <w:r w:rsidR="00DB4D72">
        <w:t>ddresses a narrow use case (observable patterns for Indicators of Compromise) and represents a partial solution to part of the overall cyber threat information problem, but does not fully address the needs of a holistic cyber threat intelligence information model</w:t>
      </w:r>
      <w:r w:rsidR="00DB4D72" w:rsidRPr="00F54712">
        <w:t>.</w:t>
      </w:r>
      <w:r w:rsidR="006454B4">
        <w:t xml:space="preserve">  The OpenIOC community site is available at </w:t>
      </w:r>
      <w:hyperlink r:id="rId42" w:history="1">
        <w:r w:rsidR="006454B4" w:rsidRPr="000D53CC">
          <w:rPr>
            <w:rStyle w:val="Hyperlink"/>
          </w:rPr>
          <w:t>www.openioc.org</w:t>
        </w:r>
      </w:hyperlink>
      <w:r w:rsidR="006454B4">
        <w:t>.</w:t>
      </w:r>
    </w:p>
    <w:p w14:paraId="1B8EA2C3" w14:textId="390E4F6B" w:rsidR="00DB4D72" w:rsidRDefault="00DB4D72" w:rsidP="00DB4D72">
      <w:pPr>
        <w:pStyle w:val="Heading2"/>
      </w:pPr>
      <w:bookmarkStart w:id="107" w:name="_Toc451530794"/>
      <w:r w:rsidRPr="00F54712">
        <w:t>4.</w:t>
      </w:r>
      <w:r>
        <w:t>1</w:t>
      </w:r>
      <w:r w:rsidR="00B90250">
        <w:t>1</w:t>
      </w:r>
      <w:r w:rsidRPr="00F54712">
        <w:tab/>
      </w:r>
      <w:r w:rsidRPr="006F4CF0">
        <w:rPr>
          <w:bCs/>
          <w:lang w:val="en-US"/>
        </w:rPr>
        <w:t>VERIS</w:t>
      </w:r>
      <w:r w:rsidR="004D07D4">
        <w:rPr>
          <w:bCs/>
          <w:lang w:val="en-US"/>
        </w:rPr>
        <w:t xml:space="preserve"> Fr</w:t>
      </w:r>
      <w:r>
        <w:rPr>
          <w:bCs/>
          <w:lang w:val="en-US"/>
        </w:rPr>
        <w:t>amework</w:t>
      </w:r>
      <w:bookmarkEnd w:id="107"/>
    </w:p>
    <w:p w14:paraId="4A06C15F" w14:textId="0B3BB074" w:rsidR="00DB4D72" w:rsidRDefault="00392EDB" w:rsidP="00F33D03">
      <w:r>
        <w:t xml:space="preserve">Another </w:t>
      </w:r>
      <w:r w:rsidR="00DB4D72">
        <w:t>common language for describing security incidents</w:t>
      </w:r>
      <w:r w:rsidR="003823E1">
        <w:t xml:space="preserve"> </w:t>
      </w:r>
      <w:r>
        <w:t>is</w:t>
      </w:r>
      <w:r w:rsidR="003823E1">
        <w:t xml:space="preserve"> </w:t>
      </w:r>
      <w:r>
        <w:t>the Vocabulary for Event Recording and Incident Sharing</w:t>
      </w:r>
      <w:r w:rsidR="003823E1">
        <w:t xml:space="preserve"> </w:t>
      </w:r>
      <w:r>
        <w:t>(</w:t>
      </w:r>
      <w:r w:rsidR="003823E1">
        <w:t>VERIS</w:t>
      </w:r>
      <w:r>
        <w:t>)</w:t>
      </w:r>
      <w:r w:rsidR="00DB4D72">
        <w:t xml:space="preserve">.  </w:t>
      </w:r>
      <w:r w:rsidR="003823E1">
        <w:t>It a</w:t>
      </w:r>
      <w:r w:rsidR="00DB4D72">
        <w:t>ddresses a narrow use case and represents a partial solution to part of the overall cyber threat information problem but does not fully address the needs of a holistic cyber threat intelligence information model</w:t>
      </w:r>
      <w:r w:rsidR="003823E1">
        <w:t>.  The</w:t>
      </w:r>
      <w:r w:rsidR="00351714">
        <w:t xml:space="preserve"> VERIS</w:t>
      </w:r>
      <w:r w:rsidR="003823E1">
        <w:t xml:space="preserve"> community site is available at </w:t>
      </w:r>
      <w:hyperlink r:id="rId43" w:history="1">
        <w:r w:rsidR="003823E1" w:rsidRPr="000D53CC">
          <w:rPr>
            <w:rStyle w:val="Hyperlink"/>
          </w:rPr>
          <w:t>www.veriscommunity.net</w:t>
        </w:r>
      </w:hyperlink>
      <w:r w:rsidR="003823E1">
        <w:t xml:space="preserve">.  In addition, the published </w:t>
      </w:r>
      <w:r w:rsidR="00DB4D72">
        <w:t xml:space="preserve">format </w:t>
      </w:r>
      <w:r w:rsidR="003823E1">
        <w:t xml:space="preserve">is </w:t>
      </w:r>
      <w:r w:rsidR="00DB4D72">
        <w:t xml:space="preserve">available on </w:t>
      </w:r>
      <w:r w:rsidR="003823E1">
        <w:t xml:space="preserve">GitHub at </w:t>
      </w:r>
      <w:hyperlink r:id="rId44" w:history="1">
        <w:r w:rsidR="003823E1" w:rsidRPr="000D53CC">
          <w:rPr>
            <w:rStyle w:val="Hyperlink"/>
          </w:rPr>
          <w:t>https://github.com/vz-risk/veris</w:t>
        </w:r>
      </w:hyperlink>
      <w:r w:rsidR="003823E1">
        <w:t>.</w:t>
      </w:r>
    </w:p>
    <w:p w14:paraId="7E7D5216" w14:textId="65B2024F" w:rsidR="00FB2F94" w:rsidRDefault="00FB2F94" w:rsidP="00FB2F94">
      <w:pPr>
        <w:pStyle w:val="Heading2"/>
        <w:rPr>
          <w:bCs/>
          <w:lang w:val="en-US"/>
        </w:rPr>
      </w:pPr>
      <w:bookmarkStart w:id="108" w:name="_Toc446065982"/>
      <w:bookmarkStart w:id="109" w:name="_Toc451530795"/>
      <w:r>
        <w:rPr>
          <w:bCs/>
          <w:lang w:val="en-US"/>
        </w:rPr>
        <w:t>4.12</w:t>
      </w:r>
      <w:r>
        <w:rPr>
          <w:bCs/>
          <w:lang w:val="en-US"/>
        </w:rPr>
        <w:tab/>
        <w:t xml:space="preserve">ETSI ISI </w:t>
      </w:r>
      <w:bookmarkEnd w:id="108"/>
      <w:r>
        <w:rPr>
          <w:bCs/>
          <w:lang w:val="en-US"/>
        </w:rPr>
        <w:t>(Information Security Indicators)</w:t>
      </w:r>
      <w:r w:rsidR="009806CD">
        <w:rPr>
          <w:bCs/>
          <w:lang w:val="en-US"/>
        </w:rPr>
        <w:t xml:space="preserve"> ISG</w:t>
      </w:r>
      <w:bookmarkEnd w:id="109"/>
    </w:p>
    <w:p w14:paraId="7C9AEE4E" w14:textId="6B4DD1E4" w:rsidR="006E42DB" w:rsidRDefault="009806CD" w:rsidP="00FB2F94">
      <w:r>
        <w:t>In 2011, an Industry Specification Group was created by ETSI to undertake several activities relating to Information S</w:t>
      </w:r>
      <w:r w:rsidR="00FB2F94">
        <w:t xml:space="preserve">ecurity </w:t>
      </w:r>
      <w:r>
        <w:t>I</w:t>
      </w:r>
      <w:r w:rsidR="00FB2F94">
        <w:t>ndicators</w:t>
      </w:r>
      <w:r>
        <w:t>, including a Security Event Classification Model and its implementation.[i.</w:t>
      </w:r>
      <w:r w:rsidR="006E42DB">
        <w:t>10]</w:t>
      </w:r>
      <w:r>
        <w:t xml:space="preserve">  </w:t>
      </w:r>
      <w:r w:rsidR="006E42DB" w:rsidRPr="006E42DB">
        <w:t xml:space="preserve">Preliminary work on information security indicators </w:t>
      </w:r>
      <w:r w:rsidR="006E42DB">
        <w:t>was</w:t>
      </w:r>
      <w:r w:rsidR="006E42DB" w:rsidRPr="006E42DB">
        <w:t xml:space="preserve"> done by the French Club R2GS. The first public set of the ISI standards (security indicators list and event model) </w:t>
      </w:r>
      <w:r w:rsidR="006E42DB">
        <w:t>were released in April 2013 and now includes a set of five specifications.</w:t>
      </w:r>
      <w:r w:rsidR="00AE406F">
        <w:t>[i.1</w:t>
      </w:r>
      <w:r w:rsidR="000D4EC3">
        <w:t>1</w:t>
      </w:r>
      <w:r w:rsidR="00AE406F">
        <w:t>]</w:t>
      </w:r>
    </w:p>
    <w:p w14:paraId="181993BE" w14:textId="77777777" w:rsidR="002B2307" w:rsidRDefault="002B2307" w:rsidP="002B2307">
      <w:pPr>
        <w:pStyle w:val="B1"/>
      </w:pPr>
      <w:r>
        <w:t xml:space="preserve">GS ISI 001-1 Information Security Indicators (ISI); Indicators (INC); Part 1: A full set of operational indicators for organizations to use to benchmark their security posture </w:t>
      </w:r>
    </w:p>
    <w:p w14:paraId="2845B153" w14:textId="77777777" w:rsidR="002B2307" w:rsidRDefault="002B2307" w:rsidP="002B2307">
      <w:pPr>
        <w:pStyle w:val="B1"/>
      </w:pPr>
      <w:r>
        <w:t xml:space="preserve">GS ISI 001-2 Information Security Indicators (ISI); Indicators (INC); Part 2: Guide to select operational indicators based on the full set given in part 1 </w:t>
      </w:r>
    </w:p>
    <w:p w14:paraId="14B073B4" w14:textId="77777777" w:rsidR="002B2307" w:rsidRDefault="002B2307" w:rsidP="002B2307">
      <w:pPr>
        <w:pStyle w:val="B1"/>
      </w:pPr>
      <w:r>
        <w:t xml:space="preserve">GS ISI 002 Information Security Indicators (ISI); Event Model A security event classification model and taxonomy </w:t>
      </w:r>
    </w:p>
    <w:p w14:paraId="50537CDB" w14:textId="77777777" w:rsidR="002B2307" w:rsidRDefault="002B2307" w:rsidP="002B2307">
      <w:pPr>
        <w:pStyle w:val="B1"/>
      </w:pPr>
      <w:r>
        <w:t xml:space="preserve">GS ISI 003 Information Security Indicators (ISI); Key Performance Security Indicators (KPSI) to evaluate the maturity of security event detection  </w:t>
      </w:r>
    </w:p>
    <w:p w14:paraId="7D890F0E" w14:textId="77777777" w:rsidR="002B2307" w:rsidRDefault="002B2307" w:rsidP="002B2307">
      <w:pPr>
        <w:pStyle w:val="B1"/>
      </w:pPr>
      <w:r>
        <w:t xml:space="preserve">GS ISI 004 Information Security Indicators (ISI); Guidelines for event detection implementation  </w:t>
      </w:r>
    </w:p>
    <w:p w14:paraId="4C3F83DD" w14:textId="63BB43C7" w:rsidR="00FB2F94" w:rsidRDefault="002B2307" w:rsidP="002B2307">
      <w:pPr>
        <w:pStyle w:val="B1"/>
      </w:pPr>
      <w:r>
        <w:t xml:space="preserve">GS ISI 005 Information Security Indicators (ISI); Guidelines for security event detection testing and assessment of detection effectiveness </w:t>
      </w:r>
      <w:r w:rsidR="00FB2F94">
        <w:t>.</w:t>
      </w:r>
    </w:p>
    <w:p w14:paraId="4F249ABB" w14:textId="34D5EAEE" w:rsidR="002E0487" w:rsidRPr="00F54712" w:rsidRDefault="00673561" w:rsidP="00F33D03">
      <w:r>
        <w:t>Although the term Information Security Indicator is not defined, an “indicator” is defined as</w:t>
      </w:r>
      <w:r w:rsidR="00AE406F">
        <w:t xml:space="preserve"> a</w:t>
      </w:r>
      <w:r>
        <w:t xml:space="preserve"> “measure that provides an estimate or evaluation of specified attributes derived from an analytical model with.”  </w:t>
      </w:r>
      <w:r w:rsidR="00D93CA0" w:rsidRPr="00D93CA0">
        <w:t xml:space="preserve">These indicators provide the basis to switch from a qualitative to a quantitative culture in IT Security Scope of measurements: External and internal threats (attempt and success), user's deviant behaviours, nonconformities and/or vulnerabilities (software, configuration, </w:t>
      </w:r>
      <w:r w:rsidR="00D93CA0" w:rsidRPr="00D93CA0">
        <w:lastRenderedPageBreak/>
        <w:t>behavioural, general security framework).</w:t>
      </w:r>
      <w:r w:rsidR="00D93CA0">
        <w:t xml:space="preserve">  </w:t>
      </w:r>
      <w:r w:rsidR="000B58F8" w:rsidRPr="000B58F8">
        <w:t>ISO/IEC 27001, 27002 and 27004, plus ISACA COBIT and the Critical Security Controls found in ETSI TR103305 are</w:t>
      </w:r>
      <w:r w:rsidR="000B58F8">
        <w:t xml:space="preserve"> all normative for implementation of the specifications</w:t>
      </w:r>
      <w:r w:rsidR="000D4EC3">
        <w:t>,</w:t>
      </w:r>
      <w:r w:rsidR="002E0487">
        <w:t xml:space="preserve"> and the ISI specifications provide useful descriptions of the relationships among the various terminologies and models</w:t>
      </w:r>
      <w:r w:rsidR="000B58F8">
        <w:t>.</w:t>
      </w:r>
      <w:r w:rsidR="002E0487">
        <w:t xml:space="preserve">  A useful summary of basic terminology are provided in Figure </w:t>
      </w:r>
      <w:r w:rsidR="002C74B5">
        <w:t>8</w:t>
      </w:r>
      <w:r w:rsidR="002E0487">
        <w:t>, below.</w:t>
      </w:r>
    </w:p>
    <w:p w14:paraId="12D7C2B1" w14:textId="0DA26DF4" w:rsidR="004C4C9D" w:rsidRDefault="002E0487" w:rsidP="00056A8D">
      <w:pPr>
        <w:overflowPunct/>
        <w:autoSpaceDE/>
        <w:autoSpaceDN/>
        <w:adjustRightInd/>
        <w:spacing w:after="0"/>
        <w:jc w:val="center"/>
        <w:textAlignment w:val="auto"/>
      </w:pPr>
      <w:r>
        <w:rPr>
          <w:noProof/>
          <w:lang w:eastAsia="en-GB"/>
        </w:rPr>
        <w:drawing>
          <wp:inline distT="0" distB="0" distL="0" distR="0" wp14:anchorId="57229774" wp14:editId="56BD6605">
            <wp:extent cx="5058679" cy="2865446"/>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058473" cy="2865329"/>
                    </a:xfrm>
                    <a:prstGeom prst="rect">
                      <a:avLst/>
                    </a:prstGeom>
                    <a:noFill/>
                  </pic:spPr>
                </pic:pic>
              </a:graphicData>
            </a:graphic>
          </wp:inline>
        </w:drawing>
      </w:r>
    </w:p>
    <w:p w14:paraId="2A11C45E" w14:textId="77777777" w:rsidR="00F008FA" w:rsidRDefault="00F008FA" w:rsidP="00F008FA">
      <w:pPr>
        <w:pStyle w:val="TF"/>
      </w:pPr>
      <w:bookmarkStart w:id="110" w:name="_Toc420941544"/>
      <w:bookmarkStart w:id="111" w:name="_Toc421005813"/>
      <w:bookmarkStart w:id="112" w:name="_Toc421009141"/>
      <w:bookmarkStart w:id="113" w:name="_Toc421287209"/>
      <w:bookmarkStart w:id="114" w:name="_Toc421538782"/>
      <w:bookmarkStart w:id="115" w:name="_Toc421540271"/>
      <w:bookmarkStart w:id="116" w:name="_Toc421540331"/>
      <w:bookmarkStart w:id="117" w:name="_Toc421541764"/>
      <w:bookmarkStart w:id="118" w:name="_Toc423075683"/>
    </w:p>
    <w:p w14:paraId="6F1F97DC" w14:textId="28A7AA18" w:rsidR="00F008FA" w:rsidRPr="00056A8D" w:rsidRDefault="00F008FA" w:rsidP="00F008FA">
      <w:pPr>
        <w:pStyle w:val="TF"/>
        <w:rPr>
          <w:rFonts w:asciiTheme="minorHAnsi" w:hAnsiTheme="minorHAnsi"/>
        </w:rPr>
      </w:pPr>
      <w:r w:rsidRPr="00056A8D">
        <w:rPr>
          <w:rFonts w:asciiTheme="minorHAnsi" w:hAnsiTheme="minorHAnsi"/>
        </w:rPr>
        <w:t xml:space="preserve">Figure </w:t>
      </w:r>
      <w:r w:rsidR="002C74B5">
        <w:rPr>
          <w:rFonts w:asciiTheme="minorHAnsi" w:hAnsiTheme="minorHAnsi"/>
        </w:rPr>
        <w:t>8</w:t>
      </w:r>
      <w:r w:rsidRPr="00056A8D">
        <w:rPr>
          <w:rFonts w:asciiTheme="minorHAnsi" w:hAnsiTheme="minorHAnsi"/>
        </w:rPr>
        <w:t>: Relationships between different kinds of events</w:t>
      </w:r>
      <w:bookmarkEnd w:id="110"/>
      <w:bookmarkEnd w:id="111"/>
      <w:bookmarkEnd w:id="112"/>
      <w:bookmarkEnd w:id="113"/>
      <w:bookmarkEnd w:id="114"/>
      <w:bookmarkEnd w:id="115"/>
      <w:bookmarkEnd w:id="116"/>
      <w:bookmarkEnd w:id="117"/>
      <w:bookmarkEnd w:id="118"/>
      <w:r w:rsidR="000D4EC3" w:rsidRPr="00056A8D">
        <w:rPr>
          <w:rFonts w:asciiTheme="minorHAnsi" w:hAnsiTheme="minorHAnsi"/>
        </w:rPr>
        <w:t xml:space="preserve"> </w:t>
      </w:r>
      <w:r w:rsidR="000D4EC3" w:rsidRPr="00056A8D">
        <w:rPr>
          <w:rFonts w:asciiTheme="minorHAnsi" w:hAnsiTheme="minorHAnsi"/>
          <w:b w:val="0"/>
        </w:rPr>
        <w:t>[i.11</w:t>
      </w:r>
      <w:r w:rsidR="00AE406F" w:rsidRPr="00056A8D">
        <w:rPr>
          <w:rFonts w:asciiTheme="minorHAnsi" w:hAnsiTheme="minorHAnsi"/>
          <w:b w:val="0"/>
        </w:rPr>
        <w:t>]</w:t>
      </w:r>
    </w:p>
    <w:p w14:paraId="02D63799" w14:textId="77777777" w:rsidR="00F008FA" w:rsidRDefault="00F008FA" w:rsidP="00056A8D">
      <w:pPr>
        <w:overflowPunct/>
        <w:autoSpaceDE/>
        <w:autoSpaceDN/>
        <w:adjustRightInd/>
        <w:spacing w:after="0"/>
        <w:jc w:val="center"/>
        <w:textAlignment w:val="auto"/>
      </w:pPr>
    </w:p>
    <w:p w14:paraId="67AA6C19" w14:textId="77777777" w:rsidR="002C74B5" w:rsidRDefault="002C74B5">
      <w:pPr>
        <w:overflowPunct/>
        <w:autoSpaceDE/>
        <w:autoSpaceDN/>
        <w:adjustRightInd/>
        <w:spacing w:after="0"/>
        <w:textAlignment w:val="auto"/>
        <w:rPr>
          <w:rFonts w:ascii="Arial" w:hAnsi="Arial"/>
          <w:sz w:val="36"/>
        </w:rPr>
      </w:pPr>
      <w:r>
        <w:br w:type="page"/>
      </w:r>
    </w:p>
    <w:p w14:paraId="75EB9526" w14:textId="0BED144E" w:rsidR="004C4C9D" w:rsidRPr="008055FD" w:rsidRDefault="000D76BD" w:rsidP="00056A8D">
      <w:pPr>
        <w:pStyle w:val="Heading1"/>
      </w:pPr>
      <w:bookmarkStart w:id="119" w:name="_Toc451530796"/>
      <w:r>
        <w:lastRenderedPageBreak/>
        <w:t>Annex: Bibliography</w:t>
      </w:r>
      <w:bookmarkEnd w:id="119"/>
    </w:p>
    <w:p w14:paraId="1495FFA3" w14:textId="77777777" w:rsidR="000D76BD" w:rsidRDefault="000D76BD" w:rsidP="00751D2E">
      <w:pPr>
        <w:tabs>
          <w:tab w:val="center" w:pos="4819"/>
        </w:tabs>
      </w:pPr>
    </w:p>
    <w:p w14:paraId="1ECF55D8" w14:textId="798212F2" w:rsidR="001B7A76" w:rsidRDefault="005F71E5" w:rsidP="00751D2E">
      <w:pPr>
        <w:tabs>
          <w:tab w:val="center" w:pos="4819"/>
        </w:tabs>
      </w:pPr>
      <w:bookmarkStart w:id="120" w:name="_Toc300919400"/>
      <w:bookmarkStart w:id="121" w:name="_Toc339380257"/>
      <w:bookmarkEnd w:id="96"/>
      <w:bookmarkEnd w:id="97"/>
      <w:bookmarkEnd w:id="98"/>
      <w:bookmarkEnd w:id="99"/>
      <w:r>
        <w:t xml:space="preserve">Farnham and Leune, </w:t>
      </w:r>
      <w:r w:rsidR="001B7A76" w:rsidRPr="00F54712">
        <w:t>"</w:t>
      </w:r>
      <w:r w:rsidR="00804BB9">
        <w:t>Tools and Standards for Cyber Threat Intelligence Projects</w:t>
      </w:r>
      <w:r>
        <w:t>,</w:t>
      </w:r>
      <w:r w:rsidR="001B7A76" w:rsidRPr="00F54712">
        <w:t>"</w:t>
      </w:r>
      <w:r w:rsidRPr="005F71E5">
        <w:t xml:space="preserve"> </w:t>
      </w:r>
      <w:r>
        <w:t>SANS Institute InfoSec Reading Room, 14 Oct 2013.</w:t>
      </w:r>
    </w:p>
    <w:p w14:paraId="131CF964" w14:textId="0E1DCA4C" w:rsidR="00C631FD" w:rsidRPr="00F54712" w:rsidRDefault="00C631FD" w:rsidP="00751D2E">
      <w:pPr>
        <w:tabs>
          <w:tab w:val="center" w:pos="4819"/>
        </w:tabs>
      </w:pPr>
      <w:r>
        <w:t>Northcutt, “A SANS Survey,” SANS Institute</w:t>
      </w:r>
      <w:r w:rsidRPr="00C631FD">
        <w:t xml:space="preserve"> </w:t>
      </w:r>
      <w:r>
        <w:t>InfoSec Reading Room, Feb 2015.</w:t>
      </w:r>
    </w:p>
    <w:p w14:paraId="59983476" w14:textId="77777777" w:rsidR="00BB6418" w:rsidRPr="00F54712" w:rsidRDefault="001702CA" w:rsidP="001702CA">
      <w:pPr>
        <w:pStyle w:val="Heading9"/>
      </w:pPr>
      <w:bookmarkStart w:id="122" w:name="_Toc355698257"/>
      <w:bookmarkStart w:id="123" w:name="_Toc388868242"/>
      <w:bookmarkStart w:id="124" w:name="_Toc389039482"/>
      <w:bookmarkStart w:id="125" w:name="_Toc390250121"/>
      <w:r>
        <w:rPr>
          <w:rStyle w:val="Guidance"/>
          <w:sz w:val="18"/>
          <w:lang w:eastAsia="en-US"/>
        </w:rPr>
        <w:br w:type="page"/>
      </w:r>
      <w:bookmarkStart w:id="126" w:name="_Toc389039483"/>
      <w:bookmarkStart w:id="127" w:name="_Toc390250122"/>
      <w:bookmarkStart w:id="128" w:name="_Toc451530797"/>
      <w:bookmarkEnd w:id="122"/>
      <w:bookmarkEnd w:id="123"/>
      <w:bookmarkEnd w:id="124"/>
      <w:bookmarkEnd w:id="125"/>
      <w:r w:rsidR="00BB6418" w:rsidRPr="00F54712">
        <w:lastRenderedPageBreak/>
        <w:t>History</w:t>
      </w:r>
      <w:bookmarkEnd w:id="120"/>
      <w:bookmarkEnd w:id="121"/>
      <w:bookmarkEnd w:id="126"/>
      <w:bookmarkEnd w:id="127"/>
      <w:bookmarkEnd w:id="128"/>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E05319" w:rsidRPr="00F54712" w14:paraId="04A3FBC5" w14:textId="77777777" w:rsidTr="00E05319">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3F21897B" w14:textId="77777777" w:rsidR="00E05319" w:rsidRPr="00F54712" w:rsidRDefault="00E05319">
            <w:pPr>
              <w:keepNext/>
              <w:spacing w:before="60" w:after="60"/>
              <w:jc w:val="center"/>
              <w:rPr>
                <w:b/>
                <w:sz w:val="24"/>
              </w:rPr>
            </w:pPr>
            <w:r w:rsidRPr="00F54712">
              <w:rPr>
                <w:b/>
                <w:sz w:val="24"/>
              </w:rPr>
              <w:t>Document history</w:t>
            </w:r>
          </w:p>
        </w:tc>
      </w:tr>
      <w:tr w:rsidR="00E05319" w:rsidRPr="00F54712" w14:paraId="4C8CE0A5"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21FE5E01" w14:textId="77777777" w:rsidR="00E05319" w:rsidRPr="00F54712" w:rsidRDefault="00A12707" w:rsidP="00A12707">
            <w:pPr>
              <w:pStyle w:val="FP"/>
              <w:keepNext/>
              <w:spacing w:before="80" w:after="80"/>
              <w:ind w:left="57"/>
            </w:pPr>
            <w:r>
              <w:t>V0.0.1</w:t>
            </w:r>
          </w:p>
        </w:tc>
        <w:tc>
          <w:tcPr>
            <w:tcW w:w="1588" w:type="dxa"/>
            <w:tcBorders>
              <w:top w:val="single" w:sz="6" w:space="0" w:color="auto"/>
              <w:left w:val="single" w:sz="6" w:space="0" w:color="auto"/>
              <w:bottom w:val="single" w:sz="6" w:space="0" w:color="auto"/>
              <w:right w:val="single" w:sz="6" w:space="0" w:color="auto"/>
            </w:tcBorders>
            <w:hideMark/>
          </w:tcPr>
          <w:p w14:paraId="36691100" w14:textId="77777777" w:rsidR="00E05319" w:rsidRPr="00F54712" w:rsidRDefault="00750F96">
            <w:pPr>
              <w:pStyle w:val="FP"/>
              <w:keepNext/>
              <w:spacing w:before="80" w:after="80"/>
              <w:ind w:left="57"/>
            </w:pPr>
            <w:r>
              <w:t>February 2015</w:t>
            </w:r>
          </w:p>
        </w:tc>
        <w:tc>
          <w:tcPr>
            <w:tcW w:w="6804" w:type="dxa"/>
            <w:tcBorders>
              <w:top w:val="single" w:sz="6" w:space="0" w:color="auto"/>
              <w:left w:val="nil"/>
              <w:bottom w:val="single" w:sz="6" w:space="0" w:color="auto"/>
              <w:right w:val="single" w:sz="6" w:space="0" w:color="auto"/>
            </w:tcBorders>
            <w:hideMark/>
          </w:tcPr>
          <w:p w14:paraId="77BDEF29" w14:textId="77777777" w:rsidR="00E05319" w:rsidRPr="00F54712" w:rsidRDefault="00A12707">
            <w:pPr>
              <w:pStyle w:val="FP"/>
              <w:keepNext/>
              <w:tabs>
                <w:tab w:val="left" w:pos="3118"/>
              </w:tabs>
              <w:spacing w:before="80" w:after="80"/>
              <w:ind w:left="57"/>
            </w:pPr>
            <w:r>
              <w:t>Initial Draft</w:t>
            </w:r>
          </w:p>
        </w:tc>
      </w:tr>
      <w:tr w:rsidR="00E05319" w:rsidRPr="00F54712" w14:paraId="2ACE3805"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5392F162" w14:textId="77777777" w:rsidR="00E05319" w:rsidRPr="00F54712" w:rsidRDefault="00B23613">
            <w:pPr>
              <w:pStyle w:val="FP"/>
              <w:keepNext/>
              <w:spacing w:before="80" w:after="80"/>
              <w:ind w:left="57"/>
            </w:pPr>
            <w:r>
              <w:t>V0.0.2</w:t>
            </w:r>
          </w:p>
        </w:tc>
        <w:tc>
          <w:tcPr>
            <w:tcW w:w="1588" w:type="dxa"/>
            <w:tcBorders>
              <w:top w:val="single" w:sz="6" w:space="0" w:color="auto"/>
              <w:left w:val="single" w:sz="6" w:space="0" w:color="auto"/>
              <w:bottom w:val="single" w:sz="6" w:space="0" w:color="auto"/>
              <w:right w:val="single" w:sz="6" w:space="0" w:color="auto"/>
            </w:tcBorders>
          </w:tcPr>
          <w:p w14:paraId="47431577" w14:textId="77777777" w:rsidR="00E05319" w:rsidRPr="00F54712" w:rsidRDefault="00B23613">
            <w:pPr>
              <w:pStyle w:val="FP"/>
              <w:keepNext/>
              <w:spacing w:before="80" w:after="80"/>
              <w:ind w:left="57"/>
            </w:pPr>
            <w:r>
              <w:t>October 2015</w:t>
            </w:r>
          </w:p>
        </w:tc>
        <w:tc>
          <w:tcPr>
            <w:tcW w:w="6804" w:type="dxa"/>
            <w:tcBorders>
              <w:top w:val="single" w:sz="6" w:space="0" w:color="auto"/>
              <w:left w:val="nil"/>
              <w:bottom w:val="single" w:sz="6" w:space="0" w:color="auto"/>
              <w:right w:val="single" w:sz="6" w:space="0" w:color="auto"/>
            </w:tcBorders>
          </w:tcPr>
          <w:p w14:paraId="739B6067" w14:textId="77777777" w:rsidR="00E05319" w:rsidRPr="00F54712" w:rsidRDefault="00B23613">
            <w:pPr>
              <w:pStyle w:val="FP"/>
              <w:keepNext/>
              <w:tabs>
                <w:tab w:val="left" w:pos="3118"/>
              </w:tabs>
              <w:spacing w:before="80" w:after="80"/>
              <w:ind w:left="57"/>
            </w:pPr>
            <w:r>
              <w:t>Early Draft</w:t>
            </w:r>
          </w:p>
        </w:tc>
      </w:tr>
      <w:tr w:rsidR="00E05319" w:rsidRPr="00F54712" w14:paraId="18434747"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4447E12C" w14:textId="77777777" w:rsidR="00E05319" w:rsidRPr="00F54712" w:rsidRDefault="00D7556B">
            <w:pPr>
              <w:pStyle w:val="FP"/>
              <w:keepNext/>
              <w:spacing w:before="80" w:after="80"/>
              <w:ind w:left="57"/>
            </w:pPr>
            <w:r>
              <w:t>V1.0.0</w:t>
            </w:r>
          </w:p>
        </w:tc>
        <w:tc>
          <w:tcPr>
            <w:tcW w:w="1588" w:type="dxa"/>
            <w:tcBorders>
              <w:top w:val="single" w:sz="6" w:space="0" w:color="auto"/>
              <w:left w:val="single" w:sz="6" w:space="0" w:color="auto"/>
              <w:bottom w:val="single" w:sz="6" w:space="0" w:color="auto"/>
              <w:right w:val="single" w:sz="6" w:space="0" w:color="auto"/>
            </w:tcBorders>
          </w:tcPr>
          <w:p w14:paraId="14962828" w14:textId="77777777" w:rsidR="00E05319" w:rsidRPr="00F54712" w:rsidRDefault="00D7556B">
            <w:pPr>
              <w:pStyle w:val="FP"/>
              <w:keepNext/>
              <w:spacing w:before="80" w:after="80"/>
              <w:ind w:left="57"/>
            </w:pPr>
            <w:r>
              <w:t>February 2016</w:t>
            </w:r>
          </w:p>
        </w:tc>
        <w:tc>
          <w:tcPr>
            <w:tcW w:w="6804" w:type="dxa"/>
            <w:tcBorders>
              <w:top w:val="single" w:sz="6" w:space="0" w:color="auto"/>
              <w:left w:val="nil"/>
              <w:bottom w:val="single" w:sz="6" w:space="0" w:color="auto"/>
              <w:right w:val="single" w:sz="6" w:space="0" w:color="auto"/>
            </w:tcBorders>
          </w:tcPr>
          <w:p w14:paraId="5F8F51D5" w14:textId="77777777" w:rsidR="00E05319" w:rsidRPr="00F54712" w:rsidRDefault="00D7556B">
            <w:pPr>
              <w:pStyle w:val="FP"/>
              <w:keepNext/>
              <w:tabs>
                <w:tab w:val="left" w:pos="3261"/>
                <w:tab w:val="left" w:pos="4395"/>
              </w:tabs>
              <w:spacing w:before="80" w:after="80"/>
              <w:ind w:left="57"/>
            </w:pPr>
            <w:r>
              <w:t>Final Draft</w:t>
            </w:r>
          </w:p>
        </w:tc>
      </w:tr>
      <w:tr w:rsidR="00E05319" w:rsidRPr="00F54712" w14:paraId="61F13D1A"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68121BAC" w14:textId="3BB291D2" w:rsidR="00E05319" w:rsidRPr="00F54712" w:rsidRDefault="00FB2F94">
            <w:pPr>
              <w:pStyle w:val="FP"/>
              <w:spacing w:before="80" w:after="80"/>
              <w:ind w:left="57"/>
            </w:pPr>
            <w:r>
              <w:t>V1.0.1</w:t>
            </w:r>
          </w:p>
        </w:tc>
        <w:tc>
          <w:tcPr>
            <w:tcW w:w="1588" w:type="dxa"/>
            <w:tcBorders>
              <w:top w:val="single" w:sz="6" w:space="0" w:color="auto"/>
              <w:left w:val="single" w:sz="6" w:space="0" w:color="auto"/>
              <w:bottom w:val="single" w:sz="6" w:space="0" w:color="auto"/>
              <w:right w:val="single" w:sz="6" w:space="0" w:color="auto"/>
            </w:tcBorders>
          </w:tcPr>
          <w:p w14:paraId="19BC8E1F" w14:textId="4C910BA4" w:rsidR="00E05319" w:rsidRPr="00F54712" w:rsidRDefault="00FB2F94">
            <w:pPr>
              <w:pStyle w:val="FP"/>
              <w:spacing w:before="80" w:after="80"/>
              <w:ind w:left="57"/>
            </w:pPr>
            <w:r>
              <w:t>June 2016</w:t>
            </w:r>
          </w:p>
        </w:tc>
        <w:tc>
          <w:tcPr>
            <w:tcW w:w="6804" w:type="dxa"/>
            <w:tcBorders>
              <w:top w:val="single" w:sz="6" w:space="0" w:color="auto"/>
              <w:left w:val="nil"/>
              <w:bottom w:val="single" w:sz="6" w:space="0" w:color="auto"/>
              <w:right w:val="single" w:sz="6" w:space="0" w:color="auto"/>
            </w:tcBorders>
          </w:tcPr>
          <w:p w14:paraId="71A4FFAB" w14:textId="7378710F" w:rsidR="00E05319" w:rsidRPr="00F54712" w:rsidRDefault="00FB2F94">
            <w:pPr>
              <w:pStyle w:val="FP"/>
              <w:tabs>
                <w:tab w:val="left" w:pos="3261"/>
                <w:tab w:val="left" w:pos="4395"/>
              </w:tabs>
              <w:spacing w:before="80" w:after="80"/>
              <w:ind w:left="57"/>
            </w:pPr>
            <w:r>
              <w:t>Final Draft updated</w:t>
            </w:r>
          </w:p>
        </w:tc>
      </w:tr>
      <w:tr w:rsidR="00E05319" w:rsidRPr="00F54712" w14:paraId="5E2296A6" w14:textId="77777777" w:rsidTr="00E05319">
        <w:trPr>
          <w:cantSplit/>
          <w:jc w:val="center"/>
        </w:trPr>
        <w:tc>
          <w:tcPr>
            <w:tcW w:w="1247" w:type="dxa"/>
            <w:tcBorders>
              <w:top w:val="single" w:sz="6" w:space="0" w:color="auto"/>
              <w:left w:val="single" w:sz="6" w:space="0" w:color="auto"/>
              <w:bottom w:val="single" w:sz="6" w:space="0" w:color="auto"/>
              <w:right w:val="single" w:sz="6" w:space="0" w:color="auto"/>
            </w:tcBorders>
          </w:tcPr>
          <w:p w14:paraId="7EC2038E" w14:textId="77777777" w:rsidR="00E05319" w:rsidRPr="00F54712" w:rsidRDefault="00E05319">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40F5B1D" w14:textId="77777777" w:rsidR="00E05319" w:rsidRPr="00F54712" w:rsidRDefault="00E05319">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0C27638C" w14:textId="77777777" w:rsidR="00E05319" w:rsidRPr="00F54712" w:rsidRDefault="00E05319">
            <w:pPr>
              <w:pStyle w:val="FP"/>
              <w:tabs>
                <w:tab w:val="left" w:pos="3261"/>
                <w:tab w:val="left" w:pos="4395"/>
              </w:tabs>
              <w:spacing w:before="80" w:after="80"/>
              <w:ind w:left="57"/>
            </w:pPr>
          </w:p>
        </w:tc>
      </w:tr>
    </w:tbl>
    <w:p w14:paraId="6FFA3F42" w14:textId="77777777" w:rsidR="00E05319" w:rsidRPr="00F54712" w:rsidRDefault="00E05319" w:rsidP="00E05319"/>
    <w:sectPr w:rsidR="00E05319" w:rsidRPr="00F54712">
      <w:headerReference w:type="default" r:id="rId46"/>
      <w:footerReference w:type="default" r:id="rId47"/>
      <w:footnotePr>
        <w:numRestart w:val="eachSect"/>
      </w:footnotePr>
      <w:pgSz w:w="11907" w:h="16840"/>
      <w:pgMar w:top="1418" w:right="1134" w:bottom="1134" w:left="1134" w:header="851" w:footer="34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6DAFAB" w15:done="0"/>
  <w15:commentEx w15:paraId="616AA4B3" w15:done="0"/>
  <w15:commentEx w15:paraId="585226A5" w15:done="0"/>
  <w15:commentEx w15:paraId="4E5C0EE9" w15:done="0"/>
  <w15:commentEx w15:paraId="3444EE9E" w15:done="0"/>
  <w15:commentEx w15:paraId="740DC4A2" w15:done="0"/>
  <w15:commentEx w15:paraId="011762E8" w15:done="0"/>
  <w15:commentEx w15:paraId="5C19623C" w15:done="0"/>
  <w15:commentEx w15:paraId="23ED2297" w15:done="0"/>
  <w15:commentEx w15:paraId="4FA96660" w15:done="0"/>
  <w15:commentEx w15:paraId="4456DB21" w15:done="0"/>
  <w15:commentEx w15:paraId="445DE964" w15:done="0"/>
  <w15:commentEx w15:paraId="5DA5AC32" w15:done="0"/>
  <w15:commentEx w15:paraId="2120376E" w15:done="0"/>
  <w15:commentEx w15:paraId="6CAB97B0" w15:done="0"/>
  <w15:commentEx w15:paraId="39D9B09C" w15:done="0"/>
  <w15:commentEx w15:paraId="5B3C765A" w15:done="0"/>
  <w15:commentEx w15:paraId="793C0DC2" w15:done="0"/>
  <w15:commentEx w15:paraId="7005ED86" w15:done="0"/>
  <w15:commentEx w15:paraId="0CD903CB" w15:done="0"/>
  <w15:commentEx w15:paraId="12BAA2AE" w15:done="0"/>
  <w15:commentEx w15:paraId="1D586B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24769" w14:textId="77777777" w:rsidR="00563CA7" w:rsidRDefault="00563CA7">
      <w:r>
        <w:separator/>
      </w:r>
    </w:p>
  </w:endnote>
  <w:endnote w:type="continuationSeparator" w:id="0">
    <w:p w14:paraId="1DFECF88" w14:textId="77777777" w:rsidR="00563CA7" w:rsidRDefault="0056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A1074" w14:textId="77777777" w:rsidR="0022603E" w:rsidRDefault="0022603E">
    <w:pPr>
      <w:pStyle w:val="Footer"/>
    </w:pPr>
  </w:p>
  <w:p w14:paraId="14B61413" w14:textId="77777777" w:rsidR="0022603E" w:rsidRDefault="00226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4FB96" w14:textId="77777777" w:rsidR="0022603E" w:rsidRDefault="0022603E">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0C4A9" w14:textId="77777777" w:rsidR="00563CA7" w:rsidRDefault="00563CA7">
      <w:r>
        <w:separator/>
      </w:r>
    </w:p>
  </w:footnote>
  <w:footnote w:type="continuationSeparator" w:id="0">
    <w:p w14:paraId="435A5D48" w14:textId="77777777" w:rsidR="00563CA7" w:rsidRDefault="00563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45E44" w14:textId="77777777" w:rsidR="0022603E" w:rsidRDefault="0022603E">
    <w:pPr>
      <w:pStyle w:val="Header"/>
    </w:pPr>
    <w:r>
      <w:rPr>
        <w:lang w:eastAsia="en-GB"/>
      </w:rPr>
      <w:drawing>
        <wp:anchor distT="0" distB="0" distL="114300" distR="114300" simplePos="0" relativeHeight="251657728" behindDoc="1" locked="0" layoutInCell="1" allowOverlap="1" wp14:anchorId="04C5455C" wp14:editId="1F028E33">
          <wp:simplePos x="0" y="0"/>
          <wp:positionH relativeFrom="column">
            <wp:posOffset>-100965</wp:posOffset>
          </wp:positionH>
          <wp:positionV relativeFrom="paragraph">
            <wp:posOffset>998220</wp:posOffset>
          </wp:positionV>
          <wp:extent cx="6607810" cy="2876550"/>
          <wp:effectExtent l="0" t="0" r="2540" b="0"/>
          <wp:wrapNone/>
          <wp:docPr id="2" name="Picture 2"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5F023" w14:textId="77777777" w:rsidR="0022603E" w:rsidRDefault="0022603E">
    <w:pPr>
      <w:pStyle w:val="Header"/>
      <w:framePr w:wrap="auto" w:vAnchor="text" w:hAnchor="margin" w:xAlign="right" w:y="1"/>
    </w:pPr>
    <w:r>
      <w:fldChar w:fldCharType="begin"/>
    </w:r>
    <w:r>
      <w:instrText xml:space="preserve">styleref ZA </w:instrText>
    </w:r>
    <w:r>
      <w:fldChar w:fldCharType="separate"/>
    </w:r>
    <w:r w:rsidR="00056A8D">
      <w:t>ETSI TR 103 331 V1.0.1 (2016-06)</w:t>
    </w:r>
    <w:r>
      <w:fldChar w:fldCharType="end"/>
    </w:r>
  </w:p>
  <w:p w14:paraId="7F2A6566" w14:textId="77777777" w:rsidR="0022603E" w:rsidRDefault="0022603E">
    <w:pPr>
      <w:pStyle w:val="Header"/>
      <w:framePr w:wrap="auto" w:vAnchor="text" w:hAnchor="margin" w:xAlign="center" w:y="1"/>
    </w:pPr>
    <w:r>
      <w:fldChar w:fldCharType="begin"/>
    </w:r>
    <w:r>
      <w:instrText xml:space="preserve">page </w:instrText>
    </w:r>
    <w:r>
      <w:fldChar w:fldCharType="separate"/>
    </w:r>
    <w:r w:rsidR="00056A8D">
      <w:t>4</w:t>
    </w:r>
    <w:r>
      <w:fldChar w:fldCharType="end"/>
    </w:r>
  </w:p>
  <w:p w14:paraId="1880EF78" w14:textId="77777777" w:rsidR="0022603E" w:rsidRDefault="0022603E" w:rsidP="00723D0A">
    <w:pPr>
      <w:pStyle w:val="Header"/>
      <w:framePr w:wrap="auto" w:vAnchor="text" w:hAnchor="margin" w:y="1"/>
    </w:pPr>
    <w:r>
      <w:fldChar w:fldCharType="begin"/>
    </w:r>
    <w:r>
      <w:instrText xml:space="preserve">styleref ZGSM </w:instrText>
    </w:r>
    <w:r>
      <w:fldChar w:fldCharType="separate"/>
    </w:r>
    <w:r w:rsidR="00056A8D">
      <w:cr/>
    </w:r>
    <w:r>
      <w:fldChar w:fldCharType="end"/>
    </w:r>
  </w:p>
  <w:p w14:paraId="256F9A59" w14:textId="77777777" w:rsidR="0022603E" w:rsidRDefault="002260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5217A83"/>
    <w:multiLevelType w:val="hybridMultilevel"/>
    <w:tmpl w:val="7C26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6116FBC"/>
    <w:multiLevelType w:val="hybridMultilevel"/>
    <w:tmpl w:val="7AFE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962146F"/>
    <w:multiLevelType w:val="hybridMultilevel"/>
    <w:tmpl w:val="59FC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DCC5624"/>
    <w:multiLevelType w:val="hybridMultilevel"/>
    <w:tmpl w:val="A008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42429B1"/>
    <w:multiLevelType w:val="hybridMultilevel"/>
    <w:tmpl w:val="4490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8C709FE"/>
    <w:multiLevelType w:val="hybridMultilevel"/>
    <w:tmpl w:val="22847FE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5">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1">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1A95AF4"/>
    <w:multiLevelType w:val="hybridMultilevel"/>
    <w:tmpl w:val="093813C0"/>
    <w:lvl w:ilvl="0" w:tplc="23AA9FB8">
      <w:start w:val="1"/>
      <w:numFmt w:val="bullet"/>
      <w:lvlText w:val="•"/>
      <w:lvlJc w:val="left"/>
      <w:pPr>
        <w:tabs>
          <w:tab w:val="num" w:pos="720"/>
        </w:tabs>
        <w:ind w:left="720" w:hanging="360"/>
      </w:pPr>
      <w:rPr>
        <w:rFonts w:ascii="Arial" w:hAnsi="Arial" w:hint="default"/>
      </w:rPr>
    </w:lvl>
    <w:lvl w:ilvl="1" w:tplc="C3AE8ECA" w:tentative="1">
      <w:start w:val="1"/>
      <w:numFmt w:val="bullet"/>
      <w:lvlText w:val="•"/>
      <w:lvlJc w:val="left"/>
      <w:pPr>
        <w:tabs>
          <w:tab w:val="num" w:pos="1440"/>
        </w:tabs>
        <w:ind w:left="1440" w:hanging="360"/>
      </w:pPr>
      <w:rPr>
        <w:rFonts w:ascii="Arial" w:hAnsi="Arial" w:hint="default"/>
      </w:rPr>
    </w:lvl>
    <w:lvl w:ilvl="2" w:tplc="54C439E0" w:tentative="1">
      <w:start w:val="1"/>
      <w:numFmt w:val="bullet"/>
      <w:lvlText w:val="•"/>
      <w:lvlJc w:val="left"/>
      <w:pPr>
        <w:tabs>
          <w:tab w:val="num" w:pos="2160"/>
        </w:tabs>
        <w:ind w:left="2160" w:hanging="360"/>
      </w:pPr>
      <w:rPr>
        <w:rFonts w:ascii="Arial" w:hAnsi="Arial" w:hint="default"/>
      </w:rPr>
    </w:lvl>
    <w:lvl w:ilvl="3" w:tplc="97FABD36" w:tentative="1">
      <w:start w:val="1"/>
      <w:numFmt w:val="bullet"/>
      <w:lvlText w:val="•"/>
      <w:lvlJc w:val="left"/>
      <w:pPr>
        <w:tabs>
          <w:tab w:val="num" w:pos="2880"/>
        </w:tabs>
        <w:ind w:left="2880" w:hanging="360"/>
      </w:pPr>
      <w:rPr>
        <w:rFonts w:ascii="Arial" w:hAnsi="Arial" w:hint="default"/>
      </w:rPr>
    </w:lvl>
    <w:lvl w:ilvl="4" w:tplc="62EC90C6" w:tentative="1">
      <w:start w:val="1"/>
      <w:numFmt w:val="bullet"/>
      <w:lvlText w:val="•"/>
      <w:lvlJc w:val="left"/>
      <w:pPr>
        <w:tabs>
          <w:tab w:val="num" w:pos="3600"/>
        </w:tabs>
        <w:ind w:left="3600" w:hanging="360"/>
      </w:pPr>
      <w:rPr>
        <w:rFonts w:ascii="Arial" w:hAnsi="Arial" w:hint="default"/>
      </w:rPr>
    </w:lvl>
    <w:lvl w:ilvl="5" w:tplc="60389C84" w:tentative="1">
      <w:start w:val="1"/>
      <w:numFmt w:val="bullet"/>
      <w:lvlText w:val="•"/>
      <w:lvlJc w:val="left"/>
      <w:pPr>
        <w:tabs>
          <w:tab w:val="num" w:pos="4320"/>
        </w:tabs>
        <w:ind w:left="4320" w:hanging="360"/>
      </w:pPr>
      <w:rPr>
        <w:rFonts w:ascii="Arial" w:hAnsi="Arial" w:hint="default"/>
      </w:rPr>
    </w:lvl>
    <w:lvl w:ilvl="6" w:tplc="E48213D0" w:tentative="1">
      <w:start w:val="1"/>
      <w:numFmt w:val="bullet"/>
      <w:lvlText w:val="•"/>
      <w:lvlJc w:val="left"/>
      <w:pPr>
        <w:tabs>
          <w:tab w:val="num" w:pos="5040"/>
        </w:tabs>
        <w:ind w:left="5040" w:hanging="360"/>
      </w:pPr>
      <w:rPr>
        <w:rFonts w:ascii="Arial" w:hAnsi="Arial" w:hint="default"/>
      </w:rPr>
    </w:lvl>
    <w:lvl w:ilvl="7" w:tplc="5CA80F3A" w:tentative="1">
      <w:start w:val="1"/>
      <w:numFmt w:val="bullet"/>
      <w:lvlText w:val="•"/>
      <w:lvlJc w:val="left"/>
      <w:pPr>
        <w:tabs>
          <w:tab w:val="num" w:pos="5760"/>
        </w:tabs>
        <w:ind w:left="5760" w:hanging="360"/>
      </w:pPr>
      <w:rPr>
        <w:rFonts w:ascii="Arial" w:hAnsi="Arial" w:hint="default"/>
      </w:rPr>
    </w:lvl>
    <w:lvl w:ilvl="8" w:tplc="9B4C4552" w:tentative="1">
      <w:start w:val="1"/>
      <w:numFmt w:val="bullet"/>
      <w:lvlText w:val="•"/>
      <w:lvlJc w:val="left"/>
      <w:pPr>
        <w:tabs>
          <w:tab w:val="num" w:pos="6480"/>
        </w:tabs>
        <w:ind w:left="6480" w:hanging="360"/>
      </w:pPr>
      <w:rPr>
        <w:rFonts w:ascii="Arial" w:hAnsi="Arial" w:hint="default"/>
      </w:rPr>
    </w:lvl>
  </w:abstractNum>
  <w:abstractNum w:abstractNumId="38">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7BE3632"/>
    <w:multiLevelType w:val="hybridMultilevel"/>
    <w:tmpl w:val="A6F2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BA2272"/>
    <w:multiLevelType w:val="hybridMultilevel"/>
    <w:tmpl w:val="452C1F8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2">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78308D"/>
    <w:multiLevelType w:val="hybridMultilevel"/>
    <w:tmpl w:val="8B4E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C371B17"/>
    <w:multiLevelType w:val="hybridMultilevel"/>
    <w:tmpl w:val="F384A470"/>
    <w:lvl w:ilvl="0" w:tplc="D318F1B6">
      <w:start w:val="1"/>
      <w:numFmt w:val="bullet"/>
      <w:lvlText w:val="•"/>
      <w:lvlJc w:val="left"/>
      <w:pPr>
        <w:tabs>
          <w:tab w:val="num" w:pos="720"/>
        </w:tabs>
        <w:ind w:left="720" w:hanging="360"/>
      </w:pPr>
      <w:rPr>
        <w:rFonts w:ascii="Arial" w:hAnsi="Arial" w:hint="default"/>
      </w:rPr>
    </w:lvl>
    <w:lvl w:ilvl="1" w:tplc="62163B2A" w:tentative="1">
      <w:start w:val="1"/>
      <w:numFmt w:val="bullet"/>
      <w:lvlText w:val="•"/>
      <w:lvlJc w:val="left"/>
      <w:pPr>
        <w:tabs>
          <w:tab w:val="num" w:pos="1440"/>
        </w:tabs>
        <w:ind w:left="1440" w:hanging="360"/>
      </w:pPr>
      <w:rPr>
        <w:rFonts w:ascii="Arial" w:hAnsi="Arial" w:hint="default"/>
      </w:rPr>
    </w:lvl>
    <w:lvl w:ilvl="2" w:tplc="143819BA" w:tentative="1">
      <w:start w:val="1"/>
      <w:numFmt w:val="bullet"/>
      <w:lvlText w:val="•"/>
      <w:lvlJc w:val="left"/>
      <w:pPr>
        <w:tabs>
          <w:tab w:val="num" w:pos="2160"/>
        </w:tabs>
        <w:ind w:left="2160" w:hanging="360"/>
      </w:pPr>
      <w:rPr>
        <w:rFonts w:ascii="Arial" w:hAnsi="Arial" w:hint="default"/>
      </w:rPr>
    </w:lvl>
    <w:lvl w:ilvl="3" w:tplc="6AC815E2" w:tentative="1">
      <w:start w:val="1"/>
      <w:numFmt w:val="bullet"/>
      <w:lvlText w:val="•"/>
      <w:lvlJc w:val="left"/>
      <w:pPr>
        <w:tabs>
          <w:tab w:val="num" w:pos="2880"/>
        </w:tabs>
        <w:ind w:left="2880" w:hanging="360"/>
      </w:pPr>
      <w:rPr>
        <w:rFonts w:ascii="Arial" w:hAnsi="Arial" w:hint="default"/>
      </w:rPr>
    </w:lvl>
    <w:lvl w:ilvl="4" w:tplc="D75ECBD0" w:tentative="1">
      <w:start w:val="1"/>
      <w:numFmt w:val="bullet"/>
      <w:lvlText w:val="•"/>
      <w:lvlJc w:val="left"/>
      <w:pPr>
        <w:tabs>
          <w:tab w:val="num" w:pos="3600"/>
        </w:tabs>
        <w:ind w:left="3600" w:hanging="360"/>
      </w:pPr>
      <w:rPr>
        <w:rFonts w:ascii="Arial" w:hAnsi="Arial" w:hint="default"/>
      </w:rPr>
    </w:lvl>
    <w:lvl w:ilvl="5" w:tplc="6966C7D8" w:tentative="1">
      <w:start w:val="1"/>
      <w:numFmt w:val="bullet"/>
      <w:lvlText w:val="•"/>
      <w:lvlJc w:val="left"/>
      <w:pPr>
        <w:tabs>
          <w:tab w:val="num" w:pos="4320"/>
        </w:tabs>
        <w:ind w:left="4320" w:hanging="360"/>
      </w:pPr>
      <w:rPr>
        <w:rFonts w:ascii="Arial" w:hAnsi="Arial" w:hint="default"/>
      </w:rPr>
    </w:lvl>
    <w:lvl w:ilvl="6" w:tplc="1C74EC40" w:tentative="1">
      <w:start w:val="1"/>
      <w:numFmt w:val="bullet"/>
      <w:lvlText w:val="•"/>
      <w:lvlJc w:val="left"/>
      <w:pPr>
        <w:tabs>
          <w:tab w:val="num" w:pos="5040"/>
        </w:tabs>
        <w:ind w:left="5040" w:hanging="360"/>
      </w:pPr>
      <w:rPr>
        <w:rFonts w:ascii="Arial" w:hAnsi="Arial" w:hint="default"/>
      </w:rPr>
    </w:lvl>
    <w:lvl w:ilvl="7" w:tplc="120213DC" w:tentative="1">
      <w:start w:val="1"/>
      <w:numFmt w:val="bullet"/>
      <w:lvlText w:val="•"/>
      <w:lvlJc w:val="left"/>
      <w:pPr>
        <w:tabs>
          <w:tab w:val="num" w:pos="5760"/>
        </w:tabs>
        <w:ind w:left="5760" w:hanging="360"/>
      </w:pPr>
      <w:rPr>
        <w:rFonts w:ascii="Arial" w:hAnsi="Arial" w:hint="default"/>
      </w:rPr>
    </w:lvl>
    <w:lvl w:ilvl="8" w:tplc="55D66312" w:tentative="1">
      <w:start w:val="1"/>
      <w:numFmt w:val="bullet"/>
      <w:lvlText w:val="•"/>
      <w:lvlJc w:val="left"/>
      <w:pPr>
        <w:tabs>
          <w:tab w:val="num" w:pos="6480"/>
        </w:tabs>
        <w:ind w:left="6480" w:hanging="360"/>
      </w:pPr>
      <w:rPr>
        <w:rFonts w:ascii="Arial" w:hAnsi="Arial"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5"/>
  </w:num>
  <w:num w:numId="3">
    <w:abstractNumId w:val="43"/>
  </w:num>
  <w:num w:numId="4">
    <w:abstractNumId w:val="17"/>
  </w:num>
  <w:num w:numId="5">
    <w:abstractNumId w:val="27"/>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4"/>
  </w:num>
  <w:num w:numId="12">
    <w:abstractNumId w:val="30"/>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2"/>
  </w:num>
  <w:num w:numId="22">
    <w:abstractNumId w:val="38"/>
  </w:num>
  <w:num w:numId="23">
    <w:abstractNumId w:val="32"/>
  </w:num>
  <w:num w:numId="24">
    <w:abstractNumId w:val="36"/>
  </w:num>
  <w:num w:numId="25">
    <w:abstractNumId w:val="20"/>
  </w:num>
  <w:num w:numId="26">
    <w:abstractNumId w:val="16"/>
  </w:num>
  <w:num w:numId="27">
    <w:abstractNumId w:val="18"/>
  </w:num>
  <w:num w:numId="28">
    <w:abstractNumId w:val="33"/>
  </w:num>
  <w:num w:numId="29">
    <w:abstractNumId w:val="42"/>
  </w:num>
  <w:num w:numId="30">
    <w:abstractNumId w:val="28"/>
  </w:num>
  <w:num w:numId="31">
    <w:abstractNumId w:val="14"/>
  </w:num>
  <w:num w:numId="32">
    <w:abstractNumId w:val="31"/>
  </w:num>
  <w:num w:numId="33">
    <w:abstractNumId w:val="19"/>
  </w:num>
  <w:num w:numId="34">
    <w:abstractNumId w:val="26"/>
  </w:num>
  <w:num w:numId="35">
    <w:abstractNumId w:val="39"/>
  </w:num>
  <w:num w:numId="36">
    <w:abstractNumId w:val="11"/>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41"/>
  </w:num>
  <w:num w:numId="40">
    <w:abstractNumId w:val="24"/>
  </w:num>
  <w:num w:numId="41">
    <w:abstractNumId w:val="45"/>
  </w:num>
  <w:num w:numId="42">
    <w:abstractNumId w:val="37"/>
  </w:num>
  <w:num w:numId="43">
    <w:abstractNumId w:val="44"/>
  </w:num>
  <w:num w:numId="44">
    <w:abstractNumId w:val="40"/>
  </w:num>
  <w:num w:numId="45">
    <w:abstractNumId w:val="25"/>
  </w:num>
  <w:num w:numId="46">
    <w:abstractNumId w:val="15"/>
  </w:num>
  <w:num w:numId="47">
    <w:abstractNumId w:val="13"/>
  </w:num>
  <w:num w:numId="48">
    <w:abstractNumId w:val="12"/>
  </w:num>
  <w:num w:numId="49">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nia Compans">
    <w15:presenceInfo w15:providerId="AD" w15:userId="S-1-5-21-2034197439-752511010-549785860-15703"/>
  </w15:person>
  <w15:person w15:author="Milan Zoric">
    <w15:presenceInfo w15:providerId="AD" w15:userId="S-1-5-21-2034197439-752511010-549785860-14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263AD"/>
    <w:rsid w:val="00031F16"/>
    <w:rsid w:val="00035F1C"/>
    <w:rsid w:val="00037596"/>
    <w:rsid w:val="00047576"/>
    <w:rsid w:val="000508E4"/>
    <w:rsid w:val="00056A8D"/>
    <w:rsid w:val="00057496"/>
    <w:rsid w:val="00060C8D"/>
    <w:rsid w:val="000673E5"/>
    <w:rsid w:val="00067E1A"/>
    <w:rsid w:val="00070988"/>
    <w:rsid w:val="00072C17"/>
    <w:rsid w:val="00084C42"/>
    <w:rsid w:val="000955B1"/>
    <w:rsid w:val="000B265F"/>
    <w:rsid w:val="000B58F8"/>
    <w:rsid w:val="000C7A56"/>
    <w:rsid w:val="000D4EC3"/>
    <w:rsid w:val="000D76BD"/>
    <w:rsid w:val="000E0949"/>
    <w:rsid w:val="000F45A4"/>
    <w:rsid w:val="000F64D7"/>
    <w:rsid w:val="000F76F2"/>
    <w:rsid w:val="000F7A38"/>
    <w:rsid w:val="001042A3"/>
    <w:rsid w:val="00104708"/>
    <w:rsid w:val="00112026"/>
    <w:rsid w:val="00112268"/>
    <w:rsid w:val="00113FCA"/>
    <w:rsid w:val="00120D59"/>
    <w:rsid w:val="00132FE7"/>
    <w:rsid w:val="00144EC0"/>
    <w:rsid w:val="00150F96"/>
    <w:rsid w:val="001542E4"/>
    <w:rsid w:val="001611EE"/>
    <w:rsid w:val="0016424C"/>
    <w:rsid w:val="00167B51"/>
    <w:rsid w:val="001702CA"/>
    <w:rsid w:val="00171651"/>
    <w:rsid w:val="00172200"/>
    <w:rsid w:val="00172575"/>
    <w:rsid w:val="0017349C"/>
    <w:rsid w:val="00177829"/>
    <w:rsid w:val="00182C74"/>
    <w:rsid w:val="00195FCE"/>
    <w:rsid w:val="001A51CA"/>
    <w:rsid w:val="001A721C"/>
    <w:rsid w:val="001A7CD4"/>
    <w:rsid w:val="001B570B"/>
    <w:rsid w:val="001B6049"/>
    <w:rsid w:val="001B70DE"/>
    <w:rsid w:val="001B7A76"/>
    <w:rsid w:val="001C0F3F"/>
    <w:rsid w:val="001C5D2C"/>
    <w:rsid w:val="001C675D"/>
    <w:rsid w:val="001E3D49"/>
    <w:rsid w:val="001E5841"/>
    <w:rsid w:val="001E5F05"/>
    <w:rsid w:val="001E7509"/>
    <w:rsid w:val="001F20CA"/>
    <w:rsid w:val="001F2A19"/>
    <w:rsid w:val="00206CCF"/>
    <w:rsid w:val="00207560"/>
    <w:rsid w:val="00213885"/>
    <w:rsid w:val="002149F6"/>
    <w:rsid w:val="00221D49"/>
    <w:rsid w:val="0022603E"/>
    <w:rsid w:val="002301BE"/>
    <w:rsid w:val="00234A51"/>
    <w:rsid w:val="00260104"/>
    <w:rsid w:val="00262159"/>
    <w:rsid w:val="002669AD"/>
    <w:rsid w:val="002676FD"/>
    <w:rsid w:val="00274700"/>
    <w:rsid w:val="00295928"/>
    <w:rsid w:val="002A1C5E"/>
    <w:rsid w:val="002A7D03"/>
    <w:rsid w:val="002B2307"/>
    <w:rsid w:val="002B6C15"/>
    <w:rsid w:val="002C31BD"/>
    <w:rsid w:val="002C74B5"/>
    <w:rsid w:val="002E0487"/>
    <w:rsid w:val="002E2247"/>
    <w:rsid w:val="002E26CC"/>
    <w:rsid w:val="002E4FAE"/>
    <w:rsid w:val="002E6D6E"/>
    <w:rsid w:val="002E7202"/>
    <w:rsid w:val="003064A0"/>
    <w:rsid w:val="003167CA"/>
    <w:rsid w:val="00330E84"/>
    <w:rsid w:val="00337050"/>
    <w:rsid w:val="00347852"/>
    <w:rsid w:val="00351714"/>
    <w:rsid w:val="003665FA"/>
    <w:rsid w:val="003721D2"/>
    <w:rsid w:val="003823E1"/>
    <w:rsid w:val="00392ABB"/>
    <w:rsid w:val="00392EDB"/>
    <w:rsid w:val="00393814"/>
    <w:rsid w:val="003A7681"/>
    <w:rsid w:val="003B3495"/>
    <w:rsid w:val="003C187C"/>
    <w:rsid w:val="003D2B8A"/>
    <w:rsid w:val="003D3B2D"/>
    <w:rsid w:val="003D6202"/>
    <w:rsid w:val="003D795C"/>
    <w:rsid w:val="003E0229"/>
    <w:rsid w:val="003E0371"/>
    <w:rsid w:val="003E7F4D"/>
    <w:rsid w:val="003F539C"/>
    <w:rsid w:val="0040413E"/>
    <w:rsid w:val="00410C83"/>
    <w:rsid w:val="00414E11"/>
    <w:rsid w:val="00415892"/>
    <w:rsid w:val="00434002"/>
    <w:rsid w:val="004350D1"/>
    <w:rsid w:val="00436775"/>
    <w:rsid w:val="00454E34"/>
    <w:rsid w:val="0045544A"/>
    <w:rsid w:val="00455BFC"/>
    <w:rsid w:val="0046449A"/>
    <w:rsid w:val="00470E45"/>
    <w:rsid w:val="0047143D"/>
    <w:rsid w:val="0047230B"/>
    <w:rsid w:val="00472736"/>
    <w:rsid w:val="00477871"/>
    <w:rsid w:val="0049209A"/>
    <w:rsid w:val="00497350"/>
    <w:rsid w:val="004A1E38"/>
    <w:rsid w:val="004A2737"/>
    <w:rsid w:val="004A385F"/>
    <w:rsid w:val="004A424E"/>
    <w:rsid w:val="004A48A8"/>
    <w:rsid w:val="004B21DC"/>
    <w:rsid w:val="004B2C68"/>
    <w:rsid w:val="004B3C05"/>
    <w:rsid w:val="004C4C9D"/>
    <w:rsid w:val="004D07D4"/>
    <w:rsid w:val="004D4B62"/>
    <w:rsid w:val="004D6662"/>
    <w:rsid w:val="004E5E3D"/>
    <w:rsid w:val="004F5CDE"/>
    <w:rsid w:val="0050446B"/>
    <w:rsid w:val="00505024"/>
    <w:rsid w:val="0050505E"/>
    <w:rsid w:val="00506A68"/>
    <w:rsid w:val="005135E2"/>
    <w:rsid w:val="00513AE8"/>
    <w:rsid w:val="005202A8"/>
    <w:rsid w:val="00522737"/>
    <w:rsid w:val="00526D65"/>
    <w:rsid w:val="0052735A"/>
    <w:rsid w:val="0052798D"/>
    <w:rsid w:val="005453D4"/>
    <w:rsid w:val="005505C1"/>
    <w:rsid w:val="00554304"/>
    <w:rsid w:val="005627CB"/>
    <w:rsid w:val="00563CA7"/>
    <w:rsid w:val="00564D7A"/>
    <w:rsid w:val="0056624A"/>
    <w:rsid w:val="00566758"/>
    <w:rsid w:val="00572161"/>
    <w:rsid w:val="005726D2"/>
    <w:rsid w:val="00573F69"/>
    <w:rsid w:val="00575EE7"/>
    <w:rsid w:val="00580617"/>
    <w:rsid w:val="00587175"/>
    <w:rsid w:val="005937FB"/>
    <w:rsid w:val="0059474F"/>
    <w:rsid w:val="00596098"/>
    <w:rsid w:val="005B079D"/>
    <w:rsid w:val="005B49DC"/>
    <w:rsid w:val="005D782E"/>
    <w:rsid w:val="005E1047"/>
    <w:rsid w:val="005F03E9"/>
    <w:rsid w:val="005F119B"/>
    <w:rsid w:val="005F71E5"/>
    <w:rsid w:val="006028C6"/>
    <w:rsid w:val="00617298"/>
    <w:rsid w:val="00627FB3"/>
    <w:rsid w:val="00633F42"/>
    <w:rsid w:val="00640591"/>
    <w:rsid w:val="006454B4"/>
    <w:rsid w:val="0064785C"/>
    <w:rsid w:val="00653A3B"/>
    <w:rsid w:val="006613A1"/>
    <w:rsid w:val="00667EEB"/>
    <w:rsid w:val="00671155"/>
    <w:rsid w:val="00672201"/>
    <w:rsid w:val="00673561"/>
    <w:rsid w:val="00680563"/>
    <w:rsid w:val="00694A1A"/>
    <w:rsid w:val="00697D0F"/>
    <w:rsid w:val="006A2DEB"/>
    <w:rsid w:val="006B486D"/>
    <w:rsid w:val="006B72E7"/>
    <w:rsid w:val="006D6657"/>
    <w:rsid w:val="006E1E9C"/>
    <w:rsid w:val="006E42DB"/>
    <w:rsid w:val="006F4CF0"/>
    <w:rsid w:val="006F4DAA"/>
    <w:rsid w:val="006F4FED"/>
    <w:rsid w:val="00703E81"/>
    <w:rsid w:val="00704C8A"/>
    <w:rsid w:val="00705B87"/>
    <w:rsid w:val="00716FF4"/>
    <w:rsid w:val="00723D0A"/>
    <w:rsid w:val="00724DD5"/>
    <w:rsid w:val="0073003E"/>
    <w:rsid w:val="00730BFF"/>
    <w:rsid w:val="0073550D"/>
    <w:rsid w:val="00735655"/>
    <w:rsid w:val="00743F24"/>
    <w:rsid w:val="00745924"/>
    <w:rsid w:val="007462C1"/>
    <w:rsid w:val="00750F96"/>
    <w:rsid w:val="00751D2E"/>
    <w:rsid w:val="00754548"/>
    <w:rsid w:val="00755B41"/>
    <w:rsid w:val="007564A3"/>
    <w:rsid w:val="007579D7"/>
    <w:rsid w:val="00764FB4"/>
    <w:rsid w:val="00766D63"/>
    <w:rsid w:val="00772DDE"/>
    <w:rsid w:val="00787554"/>
    <w:rsid w:val="0079795C"/>
    <w:rsid w:val="007A49E3"/>
    <w:rsid w:val="007B0B62"/>
    <w:rsid w:val="007B55FC"/>
    <w:rsid w:val="007C133C"/>
    <w:rsid w:val="007C2C07"/>
    <w:rsid w:val="007D1D3B"/>
    <w:rsid w:val="007E3A36"/>
    <w:rsid w:val="007E501E"/>
    <w:rsid w:val="007F21F3"/>
    <w:rsid w:val="007F5499"/>
    <w:rsid w:val="007F716A"/>
    <w:rsid w:val="007F7AFF"/>
    <w:rsid w:val="008000FE"/>
    <w:rsid w:val="00804BB9"/>
    <w:rsid w:val="008055FD"/>
    <w:rsid w:val="00810C6B"/>
    <w:rsid w:val="0082119F"/>
    <w:rsid w:val="00822F05"/>
    <w:rsid w:val="00833E37"/>
    <w:rsid w:val="00841BAE"/>
    <w:rsid w:val="00844F29"/>
    <w:rsid w:val="008454B8"/>
    <w:rsid w:val="00850699"/>
    <w:rsid w:val="00855BF7"/>
    <w:rsid w:val="00862EE7"/>
    <w:rsid w:val="00866A3B"/>
    <w:rsid w:val="00871DE5"/>
    <w:rsid w:val="00882573"/>
    <w:rsid w:val="00883F20"/>
    <w:rsid w:val="008849A4"/>
    <w:rsid w:val="008970DC"/>
    <w:rsid w:val="008A2D37"/>
    <w:rsid w:val="008A5E2C"/>
    <w:rsid w:val="008A6272"/>
    <w:rsid w:val="008C4DA6"/>
    <w:rsid w:val="008F02D3"/>
    <w:rsid w:val="008F1C6A"/>
    <w:rsid w:val="0090101D"/>
    <w:rsid w:val="009066DD"/>
    <w:rsid w:val="00907CB0"/>
    <w:rsid w:val="00911BEF"/>
    <w:rsid w:val="00922229"/>
    <w:rsid w:val="0092382C"/>
    <w:rsid w:val="009343D0"/>
    <w:rsid w:val="00937A45"/>
    <w:rsid w:val="00952A8B"/>
    <w:rsid w:val="00955422"/>
    <w:rsid w:val="009806CD"/>
    <w:rsid w:val="009814DE"/>
    <w:rsid w:val="00984449"/>
    <w:rsid w:val="00985E13"/>
    <w:rsid w:val="00995BDD"/>
    <w:rsid w:val="00997FEF"/>
    <w:rsid w:val="009A2D0B"/>
    <w:rsid w:val="009B2B5E"/>
    <w:rsid w:val="009C1448"/>
    <w:rsid w:val="009C53BA"/>
    <w:rsid w:val="009C6409"/>
    <w:rsid w:val="009D5DCE"/>
    <w:rsid w:val="009D5F04"/>
    <w:rsid w:val="009E56E6"/>
    <w:rsid w:val="009F2CD4"/>
    <w:rsid w:val="009F3C5E"/>
    <w:rsid w:val="009F7CA8"/>
    <w:rsid w:val="00A011D6"/>
    <w:rsid w:val="00A0177F"/>
    <w:rsid w:val="00A12707"/>
    <w:rsid w:val="00A12742"/>
    <w:rsid w:val="00A14297"/>
    <w:rsid w:val="00A15DE7"/>
    <w:rsid w:val="00A16A30"/>
    <w:rsid w:val="00A1734A"/>
    <w:rsid w:val="00A200F0"/>
    <w:rsid w:val="00A20488"/>
    <w:rsid w:val="00A314BF"/>
    <w:rsid w:val="00A33D92"/>
    <w:rsid w:val="00A354C7"/>
    <w:rsid w:val="00A37A1C"/>
    <w:rsid w:val="00A52ED5"/>
    <w:rsid w:val="00A57E23"/>
    <w:rsid w:val="00A60AA1"/>
    <w:rsid w:val="00A6262E"/>
    <w:rsid w:val="00A7014C"/>
    <w:rsid w:val="00A76A4E"/>
    <w:rsid w:val="00A833FC"/>
    <w:rsid w:val="00AA6B7F"/>
    <w:rsid w:val="00AC14AB"/>
    <w:rsid w:val="00AC2EDA"/>
    <w:rsid w:val="00AC48D7"/>
    <w:rsid w:val="00AC5037"/>
    <w:rsid w:val="00AC7143"/>
    <w:rsid w:val="00AC7216"/>
    <w:rsid w:val="00AD4449"/>
    <w:rsid w:val="00AD5040"/>
    <w:rsid w:val="00AE2D24"/>
    <w:rsid w:val="00AE406F"/>
    <w:rsid w:val="00AE7242"/>
    <w:rsid w:val="00AF7E54"/>
    <w:rsid w:val="00B1314D"/>
    <w:rsid w:val="00B2090D"/>
    <w:rsid w:val="00B23613"/>
    <w:rsid w:val="00B260B1"/>
    <w:rsid w:val="00B420AF"/>
    <w:rsid w:val="00B6424A"/>
    <w:rsid w:val="00B65DF0"/>
    <w:rsid w:val="00B65F38"/>
    <w:rsid w:val="00B73DE0"/>
    <w:rsid w:val="00B7459C"/>
    <w:rsid w:val="00B8053E"/>
    <w:rsid w:val="00B814D2"/>
    <w:rsid w:val="00B84A32"/>
    <w:rsid w:val="00B90250"/>
    <w:rsid w:val="00B915DF"/>
    <w:rsid w:val="00B930AC"/>
    <w:rsid w:val="00B95FB9"/>
    <w:rsid w:val="00BA6835"/>
    <w:rsid w:val="00BB4415"/>
    <w:rsid w:val="00BB4716"/>
    <w:rsid w:val="00BB6418"/>
    <w:rsid w:val="00BC0A87"/>
    <w:rsid w:val="00BC1F5F"/>
    <w:rsid w:val="00BC33F7"/>
    <w:rsid w:val="00BD2C8E"/>
    <w:rsid w:val="00BE12DA"/>
    <w:rsid w:val="00BE1693"/>
    <w:rsid w:val="00BF4918"/>
    <w:rsid w:val="00BF5509"/>
    <w:rsid w:val="00C05E06"/>
    <w:rsid w:val="00C23501"/>
    <w:rsid w:val="00C25BC9"/>
    <w:rsid w:val="00C432F2"/>
    <w:rsid w:val="00C455AC"/>
    <w:rsid w:val="00C53F61"/>
    <w:rsid w:val="00C62AE6"/>
    <w:rsid w:val="00C631FD"/>
    <w:rsid w:val="00C70254"/>
    <w:rsid w:val="00C7029A"/>
    <w:rsid w:val="00C74DBA"/>
    <w:rsid w:val="00C91490"/>
    <w:rsid w:val="00CB1D08"/>
    <w:rsid w:val="00CC3B89"/>
    <w:rsid w:val="00CD386D"/>
    <w:rsid w:val="00CD54FA"/>
    <w:rsid w:val="00CD7B85"/>
    <w:rsid w:val="00D15D08"/>
    <w:rsid w:val="00D24A1A"/>
    <w:rsid w:val="00D35D58"/>
    <w:rsid w:val="00D44988"/>
    <w:rsid w:val="00D46BFF"/>
    <w:rsid w:val="00D60BF5"/>
    <w:rsid w:val="00D60CDF"/>
    <w:rsid w:val="00D649D9"/>
    <w:rsid w:val="00D65EAE"/>
    <w:rsid w:val="00D66E38"/>
    <w:rsid w:val="00D72662"/>
    <w:rsid w:val="00D7365C"/>
    <w:rsid w:val="00D7556B"/>
    <w:rsid w:val="00D778F4"/>
    <w:rsid w:val="00D8589E"/>
    <w:rsid w:val="00D87D92"/>
    <w:rsid w:val="00D93CA0"/>
    <w:rsid w:val="00DB2CBF"/>
    <w:rsid w:val="00DB4D72"/>
    <w:rsid w:val="00DB7018"/>
    <w:rsid w:val="00DC72AE"/>
    <w:rsid w:val="00DD019A"/>
    <w:rsid w:val="00DD1E1B"/>
    <w:rsid w:val="00DD456D"/>
    <w:rsid w:val="00DD4BC8"/>
    <w:rsid w:val="00DE49C4"/>
    <w:rsid w:val="00DF2CF3"/>
    <w:rsid w:val="00DF4D7B"/>
    <w:rsid w:val="00E05319"/>
    <w:rsid w:val="00E06A24"/>
    <w:rsid w:val="00E13F7F"/>
    <w:rsid w:val="00E16613"/>
    <w:rsid w:val="00E34884"/>
    <w:rsid w:val="00E375B4"/>
    <w:rsid w:val="00E4094B"/>
    <w:rsid w:val="00E45DFF"/>
    <w:rsid w:val="00E47EE0"/>
    <w:rsid w:val="00E51BA9"/>
    <w:rsid w:val="00E609DE"/>
    <w:rsid w:val="00E61551"/>
    <w:rsid w:val="00E6162D"/>
    <w:rsid w:val="00E6766E"/>
    <w:rsid w:val="00E72C12"/>
    <w:rsid w:val="00E900D9"/>
    <w:rsid w:val="00E9060F"/>
    <w:rsid w:val="00E925F7"/>
    <w:rsid w:val="00E94851"/>
    <w:rsid w:val="00E95952"/>
    <w:rsid w:val="00E973E9"/>
    <w:rsid w:val="00EA0756"/>
    <w:rsid w:val="00EA1A6E"/>
    <w:rsid w:val="00EA45D8"/>
    <w:rsid w:val="00EA530F"/>
    <w:rsid w:val="00EB1CE2"/>
    <w:rsid w:val="00EB4495"/>
    <w:rsid w:val="00EB597A"/>
    <w:rsid w:val="00EE01D6"/>
    <w:rsid w:val="00EE0F32"/>
    <w:rsid w:val="00EF3705"/>
    <w:rsid w:val="00EF6E25"/>
    <w:rsid w:val="00F008FA"/>
    <w:rsid w:val="00F12649"/>
    <w:rsid w:val="00F12DD3"/>
    <w:rsid w:val="00F25997"/>
    <w:rsid w:val="00F308DB"/>
    <w:rsid w:val="00F32FD1"/>
    <w:rsid w:val="00F33D03"/>
    <w:rsid w:val="00F41482"/>
    <w:rsid w:val="00F440E3"/>
    <w:rsid w:val="00F446E7"/>
    <w:rsid w:val="00F45BD4"/>
    <w:rsid w:val="00F54712"/>
    <w:rsid w:val="00F5552A"/>
    <w:rsid w:val="00F57728"/>
    <w:rsid w:val="00F57D30"/>
    <w:rsid w:val="00F619DB"/>
    <w:rsid w:val="00F704EE"/>
    <w:rsid w:val="00F90F7B"/>
    <w:rsid w:val="00F9174C"/>
    <w:rsid w:val="00FA1A45"/>
    <w:rsid w:val="00FB1748"/>
    <w:rsid w:val="00FB2F94"/>
    <w:rsid w:val="00FC0173"/>
    <w:rsid w:val="00FC17F5"/>
    <w:rsid w:val="00FD183B"/>
    <w:rsid w:val="00FD4016"/>
    <w:rsid w:val="00FE3886"/>
    <w:rsid w:val="00FE628B"/>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4C6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rPr>
      <w:lang w:eastAsia="x-none"/>
    </w:rPr>
  </w:style>
  <w:style w:type="paragraph" w:styleId="Heading9">
    <w:name w:val="heading 9"/>
    <w:basedOn w:val="Heading8"/>
    <w:next w:val="Normal"/>
    <w:link w:val="Heading9Char"/>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844F29"/>
    <w:rPr>
      <w:i/>
      <w:color w:val="76923C"/>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cs="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character" w:customStyle="1" w:styleId="Heading1Char">
    <w:name w:val="Heading 1 Char"/>
    <w:link w:val="Heading1"/>
    <w:rsid w:val="00260104"/>
    <w:rPr>
      <w:rFonts w:ascii="Arial" w:hAnsi="Arial"/>
      <w:sz w:val="36"/>
      <w:lang w:val="en-GB" w:eastAsia="en-US" w:bidi="ar-SA"/>
    </w:rPr>
  </w:style>
  <w:style w:type="character" w:customStyle="1" w:styleId="Heading9Char">
    <w:name w:val="Heading 9 Char"/>
    <w:link w:val="Heading9"/>
    <w:rsid w:val="00260104"/>
    <w:rPr>
      <w:rFonts w:ascii="Arial" w:hAnsi="Arial"/>
      <w:sz w:val="36"/>
      <w:lang w:val="en-GB"/>
    </w:rPr>
  </w:style>
  <w:style w:type="character" w:customStyle="1" w:styleId="Heading8Char">
    <w:name w:val="Heading 8 Char"/>
    <w:link w:val="Heading8"/>
    <w:rsid w:val="00172200"/>
    <w:rPr>
      <w:rFonts w:ascii="Arial" w:hAnsi="Arial"/>
      <w:sz w:val="36"/>
      <w:lang w:val="en-GB"/>
    </w:rPr>
  </w:style>
  <w:style w:type="paragraph" w:customStyle="1" w:styleId="INDENT1">
    <w:name w:val="INDENT1"/>
    <w:basedOn w:val="Normal"/>
    <w:rsid w:val="0082119F"/>
    <w:pPr>
      <w:spacing w:after="0"/>
      <w:ind w:left="851"/>
    </w:pPr>
  </w:style>
  <w:style w:type="paragraph" w:styleId="ListParagraph">
    <w:name w:val="List Paragraph"/>
    <w:basedOn w:val="Normal"/>
    <w:uiPriority w:val="34"/>
    <w:qFormat/>
    <w:rsid w:val="00E375B4"/>
    <w:pPr>
      <w:ind w:left="720"/>
      <w:contextualSpacing/>
    </w:pPr>
  </w:style>
  <w:style w:type="paragraph" w:styleId="Quote">
    <w:name w:val="Quote"/>
    <w:basedOn w:val="Normal"/>
    <w:next w:val="Normal"/>
    <w:link w:val="QuoteChar"/>
    <w:uiPriority w:val="29"/>
    <w:qFormat/>
    <w:rsid w:val="00DB7018"/>
    <w:rPr>
      <w:i/>
      <w:iCs/>
      <w:color w:val="000000" w:themeColor="text1"/>
    </w:rPr>
  </w:style>
  <w:style w:type="character" w:customStyle="1" w:styleId="QuoteChar">
    <w:name w:val="Quote Char"/>
    <w:basedOn w:val="DefaultParagraphFont"/>
    <w:link w:val="Quote"/>
    <w:uiPriority w:val="29"/>
    <w:rsid w:val="00DB7018"/>
    <w:rPr>
      <w:i/>
      <w:iCs/>
      <w:color w:val="000000" w:themeColor="text1"/>
      <w:lang w:val="en-GB"/>
    </w:rPr>
  </w:style>
  <w:style w:type="table" w:styleId="TableGrid">
    <w:name w:val="Table Grid"/>
    <w:basedOn w:val="TableNormal"/>
    <w:rsid w:val="00B2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A12742"/>
    <w:rPr>
      <w:b/>
      <w:bCs/>
    </w:rPr>
  </w:style>
  <w:style w:type="character" w:customStyle="1" w:styleId="CommentTextChar">
    <w:name w:val="Comment Text Char"/>
    <w:basedOn w:val="DefaultParagraphFont"/>
    <w:link w:val="CommentText"/>
    <w:semiHidden/>
    <w:rsid w:val="00A12742"/>
    <w:rPr>
      <w:lang w:val="en-GB"/>
    </w:rPr>
  </w:style>
  <w:style w:type="character" w:customStyle="1" w:styleId="CommentSubjectChar">
    <w:name w:val="Comment Subject Char"/>
    <w:basedOn w:val="CommentTextChar"/>
    <w:link w:val="CommentSubject"/>
    <w:semiHidden/>
    <w:rsid w:val="00A12742"/>
    <w:rPr>
      <w:b/>
      <w:bCs/>
      <w:lang w:val="en-GB"/>
    </w:rPr>
  </w:style>
  <w:style w:type="paragraph" w:styleId="Revision">
    <w:name w:val="Revision"/>
    <w:hidden/>
    <w:uiPriority w:val="99"/>
    <w:semiHidden/>
    <w:rsid w:val="004B3C05"/>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rPr>
      <w:lang w:eastAsia="x-none"/>
    </w:rPr>
  </w:style>
  <w:style w:type="paragraph" w:styleId="Heading9">
    <w:name w:val="heading 9"/>
    <w:basedOn w:val="Heading8"/>
    <w:next w:val="Normal"/>
    <w:link w:val="Heading9Char"/>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844F29"/>
    <w:rPr>
      <w:i/>
      <w:color w:val="76923C"/>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cs="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character" w:customStyle="1" w:styleId="Heading1Char">
    <w:name w:val="Heading 1 Char"/>
    <w:link w:val="Heading1"/>
    <w:rsid w:val="00260104"/>
    <w:rPr>
      <w:rFonts w:ascii="Arial" w:hAnsi="Arial"/>
      <w:sz w:val="36"/>
      <w:lang w:val="en-GB" w:eastAsia="en-US" w:bidi="ar-SA"/>
    </w:rPr>
  </w:style>
  <w:style w:type="character" w:customStyle="1" w:styleId="Heading9Char">
    <w:name w:val="Heading 9 Char"/>
    <w:link w:val="Heading9"/>
    <w:rsid w:val="00260104"/>
    <w:rPr>
      <w:rFonts w:ascii="Arial" w:hAnsi="Arial"/>
      <w:sz w:val="36"/>
      <w:lang w:val="en-GB"/>
    </w:rPr>
  </w:style>
  <w:style w:type="character" w:customStyle="1" w:styleId="Heading8Char">
    <w:name w:val="Heading 8 Char"/>
    <w:link w:val="Heading8"/>
    <w:rsid w:val="00172200"/>
    <w:rPr>
      <w:rFonts w:ascii="Arial" w:hAnsi="Arial"/>
      <w:sz w:val="36"/>
      <w:lang w:val="en-GB"/>
    </w:rPr>
  </w:style>
  <w:style w:type="paragraph" w:customStyle="1" w:styleId="INDENT1">
    <w:name w:val="INDENT1"/>
    <w:basedOn w:val="Normal"/>
    <w:rsid w:val="0082119F"/>
    <w:pPr>
      <w:spacing w:after="0"/>
      <w:ind w:left="851"/>
    </w:pPr>
  </w:style>
  <w:style w:type="paragraph" w:styleId="ListParagraph">
    <w:name w:val="List Paragraph"/>
    <w:basedOn w:val="Normal"/>
    <w:uiPriority w:val="34"/>
    <w:qFormat/>
    <w:rsid w:val="00E375B4"/>
    <w:pPr>
      <w:ind w:left="720"/>
      <w:contextualSpacing/>
    </w:pPr>
  </w:style>
  <w:style w:type="paragraph" w:styleId="Quote">
    <w:name w:val="Quote"/>
    <w:basedOn w:val="Normal"/>
    <w:next w:val="Normal"/>
    <w:link w:val="QuoteChar"/>
    <w:uiPriority w:val="29"/>
    <w:qFormat/>
    <w:rsid w:val="00DB7018"/>
    <w:rPr>
      <w:i/>
      <w:iCs/>
      <w:color w:val="000000" w:themeColor="text1"/>
    </w:rPr>
  </w:style>
  <w:style w:type="character" w:customStyle="1" w:styleId="QuoteChar">
    <w:name w:val="Quote Char"/>
    <w:basedOn w:val="DefaultParagraphFont"/>
    <w:link w:val="Quote"/>
    <w:uiPriority w:val="29"/>
    <w:rsid w:val="00DB7018"/>
    <w:rPr>
      <w:i/>
      <w:iCs/>
      <w:color w:val="000000" w:themeColor="text1"/>
      <w:lang w:val="en-GB"/>
    </w:rPr>
  </w:style>
  <w:style w:type="table" w:styleId="TableGrid">
    <w:name w:val="Table Grid"/>
    <w:basedOn w:val="TableNormal"/>
    <w:rsid w:val="00B2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A12742"/>
    <w:rPr>
      <w:b/>
      <w:bCs/>
    </w:rPr>
  </w:style>
  <w:style w:type="character" w:customStyle="1" w:styleId="CommentTextChar">
    <w:name w:val="Comment Text Char"/>
    <w:basedOn w:val="DefaultParagraphFont"/>
    <w:link w:val="CommentText"/>
    <w:semiHidden/>
    <w:rsid w:val="00A12742"/>
    <w:rPr>
      <w:lang w:val="en-GB"/>
    </w:rPr>
  </w:style>
  <w:style w:type="character" w:customStyle="1" w:styleId="CommentSubjectChar">
    <w:name w:val="Comment Subject Char"/>
    <w:basedOn w:val="CommentTextChar"/>
    <w:link w:val="CommentSubject"/>
    <w:semiHidden/>
    <w:rsid w:val="00A12742"/>
    <w:rPr>
      <w:b/>
      <w:bCs/>
      <w:lang w:val="en-GB"/>
    </w:rPr>
  </w:style>
  <w:style w:type="paragraph" w:styleId="Revision">
    <w:name w:val="Revision"/>
    <w:hidden/>
    <w:uiPriority w:val="99"/>
    <w:semiHidden/>
    <w:rsid w:val="004B3C0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76755">
      <w:bodyDiv w:val="1"/>
      <w:marLeft w:val="0"/>
      <w:marRight w:val="0"/>
      <w:marTop w:val="0"/>
      <w:marBottom w:val="0"/>
      <w:divBdr>
        <w:top w:val="none" w:sz="0" w:space="0" w:color="auto"/>
        <w:left w:val="none" w:sz="0" w:space="0" w:color="auto"/>
        <w:bottom w:val="none" w:sz="0" w:space="0" w:color="auto"/>
        <w:right w:val="none" w:sz="0" w:space="0" w:color="auto"/>
      </w:divBdr>
    </w:div>
    <w:div w:id="275404174">
      <w:bodyDiv w:val="1"/>
      <w:marLeft w:val="0"/>
      <w:marRight w:val="0"/>
      <w:marTop w:val="0"/>
      <w:marBottom w:val="0"/>
      <w:divBdr>
        <w:top w:val="none" w:sz="0" w:space="0" w:color="auto"/>
        <w:left w:val="none" w:sz="0" w:space="0" w:color="auto"/>
        <w:bottom w:val="none" w:sz="0" w:space="0" w:color="auto"/>
        <w:right w:val="none" w:sz="0" w:space="0" w:color="auto"/>
      </w:divBdr>
    </w:div>
    <w:div w:id="423308753">
      <w:bodyDiv w:val="1"/>
      <w:marLeft w:val="0"/>
      <w:marRight w:val="0"/>
      <w:marTop w:val="0"/>
      <w:marBottom w:val="0"/>
      <w:divBdr>
        <w:top w:val="none" w:sz="0" w:space="0" w:color="auto"/>
        <w:left w:val="none" w:sz="0" w:space="0" w:color="auto"/>
        <w:bottom w:val="none" w:sz="0" w:space="0" w:color="auto"/>
        <w:right w:val="none" w:sz="0" w:space="0" w:color="auto"/>
      </w:divBdr>
      <w:divsChild>
        <w:div w:id="1293369059">
          <w:marLeft w:val="0"/>
          <w:marRight w:val="0"/>
          <w:marTop w:val="0"/>
          <w:marBottom w:val="0"/>
          <w:divBdr>
            <w:top w:val="none" w:sz="0" w:space="0" w:color="auto"/>
            <w:left w:val="none" w:sz="0" w:space="0" w:color="auto"/>
            <w:bottom w:val="none" w:sz="0" w:space="0" w:color="auto"/>
            <w:right w:val="none" w:sz="0" w:space="0" w:color="auto"/>
          </w:divBdr>
        </w:div>
      </w:divsChild>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38720112">
      <w:bodyDiv w:val="1"/>
      <w:marLeft w:val="0"/>
      <w:marRight w:val="0"/>
      <w:marTop w:val="0"/>
      <w:marBottom w:val="0"/>
      <w:divBdr>
        <w:top w:val="none" w:sz="0" w:space="0" w:color="auto"/>
        <w:left w:val="none" w:sz="0" w:space="0" w:color="auto"/>
        <w:bottom w:val="none" w:sz="0" w:space="0" w:color="auto"/>
        <w:right w:val="none" w:sz="0" w:space="0" w:color="auto"/>
      </w:divBdr>
      <w:divsChild>
        <w:div w:id="1051423509">
          <w:marLeft w:val="533"/>
          <w:marRight w:val="0"/>
          <w:marTop w:val="67"/>
          <w:marBottom w:val="0"/>
          <w:divBdr>
            <w:top w:val="none" w:sz="0" w:space="0" w:color="auto"/>
            <w:left w:val="none" w:sz="0" w:space="0" w:color="auto"/>
            <w:bottom w:val="none" w:sz="0" w:space="0" w:color="auto"/>
            <w:right w:val="none" w:sz="0" w:space="0" w:color="auto"/>
          </w:divBdr>
        </w:div>
      </w:divsChild>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62508809">
      <w:bodyDiv w:val="1"/>
      <w:marLeft w:val="0"/>
      <w:marRight w:val="0"/>
      <w:marTop w:val="0"/>
      <w:marBottom w:val="0"/>
      <w:divBdr>
        <w:top w:val="none" w:sz="0" w:space="0" w:color="auto"/>
        <w:left w:val="none" w:sz="0" w:space="0" w:color="auto"/>
        <w:bottom w:val="none" w:sz="0" w:space="0" w:color="auto"/>
        <w:right w:val="none" w:sz="0" w:space="0" w:color="auto"/>
      </w:divBdr>
    </w:div>
    <w:div w:id="741755209">
      <w:bodyDiv w:val="1"/>
      <w:marLeft w:val="0"/>
      <w:marRight w:val="0"/>
      <w:marTop w:val="0"/>
      <w:marBottom w:val="0"/>
      <w:divBdr>
        <w:top w:val="none" w:sz="0" w:space="0" w:color="auto"/>
        <w:left w:val="none" w:sz="0" w:space="0" w:color="auto"/>
        <w:bottom w:val="none" w:sz="0" w:space="0" w:color="auto"/>
        <w:right w:val="none" w:sz="0" w:space="0" w:color="auto"/>
      </w:divBdr>
      <w:divsChild>
        <w:div w:id="803890718">
          <w:marLeft w:val="533"/>
          <w:marRight w:val="0"/>
          <w:marTop w:val="67"/>
          <w:marBottom w:val="0"/>
          <w:divBdr>
            <w:top w:val="none" w:sz="0" w:space="0" w:color="auto"/>
            <w:left w:val="none" w:sz="0" w:space="0" w:color="auto"/>
            <w:bottom w:val="none" w:sz="0" w:space="0" w:color="auto"/>
            <w:right w:val="none" w:sz="0" w:space="0" w:color="auto"/>
          </w:divBdr>
        </w:div>
      </w:divsChild>
    </w:div>
    <w:div w:id="754203143">
      <w:bodyDiv w:val="1"/>
      <w:marLeft w:val="0"/>
      <w:marRight w:val="0"/>
      <w:marTop w:val="0"/>
      <w:marBottom w:val="0"/>
      <w:divBdr>
        <w:top w:val="none" w:sz="0" w:space="0" w:color="auto"/>
        <w:left w:val="none" w:sz="0" w:space="0" w:color="auto"/>
        <w:bottom w:val="none" w:sz="0" w:space="0" w:color="auto"/>
        <w:right w:val="none" w:sz="0" w:space="0" w:color="auto"/>
      </w:divBdr>
      <w:divsChild>
        <w:div w:id="697244478">
          <w:marLeft w:val="1166"/>
          <w:marRight w:val="0"/>
          <w:marTop w:val="67"/>
          <w:marBottom w:val="0"/>
          <w:divBdr>
            <w:top w:val="none" w:sz="0" w:space="0" w:color="auto"/>
            <w:left w:val="none" w:sz="0" w:space="0" w:color="auto"/>
            <w:bottom w:val="none" w:sz="0" w:space="0" w:color="auto"/>
            <w:right w:val="none" w:sz="0" w:space="0" w:color="auto"/>
          </w:divBdr>
        </w:div>
      </w:divsChild>
    </w:div>
    <w:div w:id="998729515">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46075907">
      <w:bodyDiv w:val="1"/>
      <w:marLeft w:val="0"/>
      <w:marRight w:val="0"/>
      <w:marTop w:val="0"/>
      <w:marBottom w:val="0"/>
      <w:divBdr>
        <w:top w:val="none" w:sz="0" w:space="0" w:color="auto"/>
        <w:left w:val="none" w:sz="0" w:space="0" w:color="auto"/>
        <w:bottom w:val="none" w:sz="0" w:space="0" w:color="auto"/>
        <w:right w:val="none" w:sz="0" w:space="0" w:color="auto"/>
      </w:divBdr>
    </w:div>
    <w:div w:id="1608350324">
      <w:bodyDiv w:val="1"/>
      <w:marLeft w:val="0"/>
      <w:marRight w:val="0"/>
      <w:marTop w:val="0"/>
      <w:marBottom w:val="0"/>
      <w:divBdr>
        <w:top w:val="none" w:sz="0" w:space="0" w:color="auto"/>
        <w:left w:val="none" w:sz="0" w:space="0" w:color="auto"/>
        <w:bottom w:val="none" w:sz="0" w:space="0" w:color="auto"/>
        <w:right w:val="none" w:sz="0" w:space="0" w:color="auto"/>
      </w:divBdr>
    </w:div>
    <w:div w:id="1683824171">
      <w:bodyDiv w:val="1"/>
      <w:marLeft w:val="0"/>
      <w:marRight w:val="0"/>
      <w:marTop w:val="0"/>
      <w:marBottom w:val="0"/>
      <w:divBdr>
        <w:top w:val="none" w:sz="0" w:space="0" w:color="auto"/>
        <w:left w:val="none" w:sz="0" w:space="0" w:color="auto"/>
        <w:bottom w:val="none" w:sz="0" w:space="0" w:color="auto"/>
        <w:right w:val="none" w:sz="0" w:space="0" w:color="auto"/>
      </w:divBdr>
    </w:div>
    <w:div w:id="1995647454">
      <w:bodyDiv w:val="1"/>
      <w:marLeft w:val="0"/>
      <w:marRight w:val="0"/>
      <w:marTop w:val="0"/>
      <w:marBottom w:val="0"/>
      <w:divBdr>
        <w:top w:val="none" w:sz="0" w:space="0" w:color="auto"/>
        <w:left w:val="none" w:sz="0" w:space="0" w:color="auto"/>
        <w:bottom w:val="none" w:sz="0" w:space="0" w:color="auto"/>
        <w:right w:val="none" w:sz="0" w:space="0" w:color="auto"/>
      </w:divBdr>
      <w:divsChild>
        <w:div w:id="1422674789">
          <w:marLeft w:val="187"/>
          <w:marRight w:val="0"/>
          <w:marTop w:val="43"/>
          <w:marBottom w:val="0"/>
          <w:divBdr>
            <w:top w:val="none" w:sz="0" w:space="0" w:color="auto"/>
            <w:left w:val="none" w:sz="0" w:space="0" w:color="auto"/>
            <w:bottom w:val="none" w:sz="0" w:space="0" w:color="auto"/>
            <w:right w:val="none" w:sz="0" w:space="0" w:color="auto"/>
          </w:divBdr>
        </w:div>
      </w:divsChild>
    </w:div>
    <w:div w:id="204525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rtal.etsi.org/edithelp/HowToStart/home.htm?page=DraftingRules" TargetMode="External"/><Relationship Id="rId18" Type="http://schemas.openxmlformats.org/officeDocument/2006/relationships/hyperlink" Target="https://wiki.oasis-open.org/cti/" TargetMode="External"/><Relationship Id="rId26" Type="http://schemas.openxmlformats.org/officeDocument/2006/relationships/hyperlink" Target="https://github.com/CybOXProject" TargetMode="External"/><Relationship Id="rId39" Type="http://schemas.openxmlformats.org/officeDocument/2006/relationships/hyperlink" Target="http://www.abusehelper.be" TargetMode="External"/><Relationship Id="rId21" Type="http://schemas.openxmlformats.org/officeDocument/2006/relationships/hyperlink" Target="https://www.itu.int/itu-t/recommendations/index.aspx?ser=X" TargetMode="External"/><Relationship Id="rId34" Type="http://schemas.openxmlformats.org/officeDocument/2006/relationships/image" Target="media/image8.png"/><Relationship Id="rId42" Type="http://schemas.openxmlformats.org/officeDocument/2006/relationships/hyperlink" Target="http://www.openioc.org" TargetMode="External"/><Relationship Id="rId47" Type="http://schemas.openxmlformats.org/officeDocument/2006/relationships/footer" Target="footer2.xml"/><Relationship Id="rId50"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cpni.gov.uk/Documents/Publications/2015/23-March-2015-MWR_Threat_Intelligence_whitepaper-2015.pdf" TargetMode="External"/><Relationship Id="rId29" Type="http://schemas.openxmlformats.org/officeDocument/2006/relationships/image" Target="media/image3.jpeg"/><Relationship Id="rId11" Type="http://schemas.openxmlformats.org/officeDocument/2006/relationships/hyperlink" Target="http://www.etsi.org" TargetMode="External"/><Relationship Id="rId24" Type="http://schemas.openxmlformats.org/officeDocument/2006/relationships/hyperlink" Target="https://github.com/STIXProject" TargetMode="External"/><Relationship Id="rId32" Type="http://schemas.openxmlformats.org/officeDocument/2006/relationships/image" Target="media/image6.jpeg"/><Relationship Id="rId37" Type="http://schemas.openxmlformats.org/officeDocument/2006/relationships/hyperlink" Target="http://csirtgadgets.org/" TargetMode="External"/><Relationship Id="rId40" Type="http://schemas.openxmlformats.org/officeDocument/2006/relationships/hyperlink" Target="http://www.threatrisk.org" TargetMode="External"/><Relationship Id="rId45"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hyperlink" Target="https://www.us-cert.gov/sites/default/files/ais_files/Non-Federal_Entity_Sharing_Guidance_%28Sec%20105%28a%29%29.pdf" TargetMode="External"/><Relationship Id="rId23" Type="http://schemas.openxmlformats.org/officeDocument/2006/relationships/hyperlink" Target="https://portal.etsi.org/ISI/ISI_ISG_ToR_Sep2011.pdf" TargetMode="External"/><Relationship Id="rId28" Type="http://schemas.openxmlformats.org/officeDocument/2006/relationships/image" Target="media/image2.png"/><Relationship Id="rId36" Type="http://schemas.openxmlformats.org/officeDocument/2006/relationships/image" Target="media/image10.png"/><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oasis-open.org/apps/org/workgroup/cti/documents.php?folder_id=2978" TargetMode="External"/><Relationship Id="rId31" Type="http://schemas.openxmlformats.org/officeDocument/2006/relationships/image" Target="media/image5.jpeg"/><Relationship Id="rId44" Type="http://schemas.openxmlformats.org/officeDocument/2006/relationships/hyperlink" Target="https://github.com/vz-risk/veri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docbox.etsi.org/Reference" TargetMode="External"/><Relationship Id="rId22" Type="http://schemas.openxmlformats.org/officeDocument/2006/relationships/hyperlink" Target="http://www.itu.int/itu-t/workprog/wp_search.aspx" TargetMode="External"/><Relationship Id="rId27" Type="http://schemas.openxmlformats.org/officeDocument/2006/relationships/hyperlink" Target="https://github.com/MAECProject/" TargetMode="External"/><Relationship Id="rId30" Type="http://schemas.openxmlformats.org/officeDocument/2006/relationships/image" Target="media/image4.jpg"/><Relationship Id="rId35" Type="http://schemas.openxmlformats.org/officeDocument/2006/relationships/image" Target="media/image9.png"/><Relationship Id="rId43" Type="http://schemas.openxmlformats.org/officeDocument/2006/relationships/hyperlink" Target="http://www.veriscommunity.net" TargetMode="External"/><Relationship Id="rId48" Type="http://schemas.openxmlformats.org/officeDocument/2006/relationships/fontTable" Target="fontTable.xml"/><Relationship Id="rId8" Type="http://schemas.openxmlformats.org/officeDocument/2006/relationships/endnotes" Target="endnotes.xml"/><Relationship Id="rId51"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portal.etsi.org/tb/status/status.asp" TargetMode="External"/><Relationship Id="rId17" Type="http://schemas.openxmlformats.org/officeDocument/2006/relationships/hyperlink" Target="https://www.oasis-open.org/committees/tc_home.php?wg_abbrev=cti" TargetMode="External"/><Relationship Id="rId25" Type="http://schemas.openxmlformats.org/officeDocument/2006/relationships/hyperlink" Target="https://github.com/TAXIIProject" TargetMode="External"/><Relationship Id="rId33" Type="http://schemas.openxmlformats.org/officeDocument/2006/relationships/image" Target="media/image7.jpeg"/><Relationship Id="rId38" Type="http://schemas.openxmlformats.org/officeDocument/2006/relationships/hyperlink" Target="http://www.tbm.tudelft.nl/en/research/projects/research-review/advanced-cyber-defense-center-acdc/" TargetMode="External"/><Relationship Id="rId46" Type="http://schemas.openxmlformats.org/officeDocument/2006/relationships/header" Target="header2.xml"/><Relationship Id="rId20" Type="http://schemas.openxmlformats.org/officeDocument/2006/relationships/hyperlink" Target="https://datatracker.ietf.org/wg/mile/documents/" TargetMode="External"/><Relationship Id="rId41" Type="http://schemas.openxmlformats.org/officeDocument/2006/relationships/hyperlink" Target="https://en.wikipedia.org/wiki/OSSIM"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7C3E5-020F-4EB2-9979-8AE27F91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TotalTime>
  <Pages>1</Pages>
  <Words>5906</Words>
  <Characters>33669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CYBER; Structured threat information sharing</vt:lpstr>
    </vt:vector>
  </TitlesOfParts>
  <Company>ETS Sophia Antipolis</Company>
  <LinksUpToDate>false</LinksUpToDate>
  <CharactersWithSpaces>39497</CharactersWithSpaces>
  <SharedDoc>false</SharedDoc>
  <HLinks>
    <vt:vector size="30" baseType="variant">
      <vt:variant>
        <vt:i4>1376287</vt:i4>
      </vt:variant>
      <vt:variant>
        <vt:i4>72</vt:i4>
      </vt:variant>
      <vt:variant>
        <vt:i4>0</vt:i4>
      </vt:variant>
      <vt:variant>
        <vt:i4>5</vt:i4>
      </vt:variant>
      <vt:variant>
        <vt:lpwstr>http://docbox.etsi.org/Reference</vt:lpwstr>
      </vt:variant>
      <vt:variant>
        <vt:lpwstr/>
      </vt:variant>
      <vt:variant>
        <vt:i4>4128872</vt:i4>
      </vt:variant>
      <vt:variant>
        <vt:i4>69</vt:i4>
      </vt:variant>
      <vt:variant>
        <vt:i4>0</vt:i4>
      </vt:variant>
      <vt:variant>
        <vt:i4>5</vt:i4>
      </vt:variant>
      <vt:variant>
        <vt:lpwstr>http://portal.etsi.org/edithelp/HowToStart/home.htm?page=DraftingRules</vt:lpwstr>
      </vt:variant>
      <vt:variant>
        <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CYBER; Structured threat information sharing</dc:title>
  <dc:subject>NEW REGIME</dc:subject>
  <dc:creator>tony@yannatech.co.uk</dc:creator>
  <cp:keywords>SECURITY;Threat Analysis</cp:keywords>
  <cp:lastModifiedBy>trutkowski</cp:lastModifiedBy>
  <cp:revision>4</cp:revision>
  <cp:lastPrinted>2010-05-07T16:32:00Z</cp:lastPrinted>
  <dcterms:created xsi:type="dcterms:W3CDTF">2016-05-20T22:07:00Z</dcterms:created>
  <dcterms:modified xsi:type="dcterms:W3CDTF">2016-05-20T23:42:00Z</dcterms:modified>
</cp:coreProperties>
</file>