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06" w:rsidRDefault="00956732">
      <w:pPr>
        <w:pStyle w:val="Title"/>
        <w:spacing w:after="43"/>
        <w:rPr>
          <w:sz w:val="28"/>
          <w:szCs w:val="28"/>
        </w:rPr>
      </w:pPr>
      <w:r>
        <w:rPr>
          <w:sz w:val="28"/>
          <w:szCs w:val="28"/>
        </w:rPr>
        <w:t>08/16</w:t>
      </w:r>
      <w:r w:rsidR="00CB6006">
        <w:rPr>
          <w:sz w:val="28"/>
          <w:szCs w:val="28"/>
        </w:rPr>
        <w:t xml:space="preserve">/2012 EDXL-TEP </w:t>
      </w:r>
      <w:r>
        <w:rPr>
          <w:sz w:val="28"/>
          <w:szCs w:val="28"/>
        </w:rPr>
        <w:t>(special, out of schedule</w:t>
      </w:r>
      <w:proofErr w:type="gramStart"/>
      <w:r>
        <w:rPr>
          <w:sz w:val="28"/>
          <w:szCs w:val="28"/>
        </w:rPr>
        <w:t>)</w:t>
      </w:r>
      <w:r w:rsidR="00CB6006">
        <w:rPr>
          <w:sz w:val="28"/>
          <w:szCs w:val="28"/>
        </w:rPr>
        <w:t>subcommittee</w:t>
      </w:r>
      <w:proofErr w:type="gramEnd"/>
      <w:r w:rsidR="00CB6006">
        <w:rPr>
          <w:sz w:val="28"/>
          <w:szCs w:val="28"/>
        </w:rPr>
        <w:t xml:space="preserve"> meeting</w:t>
      </w:r>
    </w:p>
    <w:p w:rsidR="00CB6006" w:rsidRPr="00CE2D9F" w:rsidRDefault="00CB6006">
      <w:pPr>
        <w:pStyle w:val="Title"/>
        <w:spacing w:after="43"/>
        <w:rPr>
          <w:sz w:val="28"/>
          <w:szCs w:val="28"/>
          <w:u w:val="single"/>
        </w:rPr>
      </w:pPr>
      <w:r w:rsidRPr="00CE2D9F">
        <w:rPr>
          <w:sz w:val="28"/>
          <w:szCs w:val="28"/>
          <w:u w:val="single"/>
        </w:rPr>
        <w:t>Attendees:</w:t>
      </w:r>
    </w:p>
    <w:p w:rsidR="00CB6006" w:rsidRDefault="00CB6006">
      <w:pPr>
        <w:pStyle w:val="Title"/>
        <w:spacing w:after="43"/>
        <w:rPr>
          <w:sz w:val="28"/>
          <w:szCs w:val="28"/>
        </w:rPr>
      </w:pPr>
      <w:r>
        <w:rPr>
          <w:sz w:val="28"/>
          <w:szCs w:val="28"/>
        </w:rPr>
        <w:t>Werner Joerg</w:t>
      </w:r>
    </w:p>
    <w:p w:rsidR="00CB6006" w:rsidRDefault="00CB6006">
      <w:pPr>
        <w:pStyle w:val="Title"/>
        <w:spacing w:after="43"/>
        <w:rPr>
          <w:sz w:val="28"/>
          <w:szCs w:val="28"/>
        </w:rPr>
      </w:pPr>
      <w:r>
        <w:rPr>
          <w:sz w:val="28"/>
          <w:szCs w:val="28"/>
        </w:rPr>
        <w:t>Tim Grapes</w:t>
      </w:r>
    </w:p>
    <w:p w:rsidR="00CB6006" w:rsidRDefault="00CB6006">
      <w:pPr>
        <w:pStyle w:val="Title"/>
        <w:spacing w:after="43"/>
        <w:rPr>
          <w:sz w:val="28"/>
          <w:szCs w:val="28"/>
        </w:rPr>
      </w:pPr>
      <w:r>
        <w:rPr>
          <w:sz w:val="28"/>
          <w:szCs w:val="28"/>
        </w:rPr>
        <w:t>Patti Aymond</w:t>
      </w:r>
    </w:p>
    <w:p w:rsidR="00956732" w:rsidRDefault="00956732">
      <w:pPr>
        <w:pStyle w:val="Title"/>
        <w:spacing w:after="43"/>
        <w:rPr>
          <w:sz w:val="28"/>
          <w:szCs w:val="28"/>
        </w:rPr>
      </w:pPr>
      <w:r>
        <w:rPr>
          <w:sz w:val="28"/>
          <w:szCs w:val="28"/>
        </w:rPr>
        <w:t>Rex Brooks</w:t>
      </w:r>
    </w:p>
    <w:p w:rsidR="00CB6006" w:rsidRDefault="00956732">
      <w:pPr>
        <w:pStyle w:val="Title"/>
        <w:spacing w:after="43"/>
        <w:rPr>
          <w:sz w:val="28"/>
          <w:szCs w:val="28"/>
        </w:rPr>
      </w:pPr>
      <w:r>
        <w:rPr>
          <w:sz w:val="28"/>
          <w:szCs w:val="28"/>
        </w:rPr>
        <w:t xml:space="preserve">Darrell </w:t>
      </w:r>
      <w:proofErr w:type="spellStart"/>
      <w:r>
        <w:rPr>
          <w:sz w:val="28"/>
          <w:szCs w:val="28"/>
        </w:rPr>
        <w:t>Odonnell</w:t>
      </w:r>
      <w:proofErr w:type="spellEnd"/>
    </w:p>
    <w:p w:rsidR="006D7DE7" w:rsidRDefault="006D7DE7">
      <w:pPr>
        <w:spacing w:after="0"/>
        <w:rPr>
          <w:sz w:val="28"/>
          <w:szCs w:val="28"/>
        </w:rPr>
      </w:pPr>
    </w:p>
    <w:p w:rsidR="00534B6E" w:rsidRDefault="00534B6E">
      <w:pPr>
        <w:spacing w:after="0"/>
        <w:rPr>
          <w:sz w:val="28"/>
          <w:szCs w:val="28"/>
        </w:rPr>
      </w:pPr>
      <w:r w:rsidRPr="00C65D81">
        <w:rPr>
          <w:sz w:val="28"/>
          <w:szCs w:val="28"/>
          <w:u w:val="single"/>
        </w:rPr>
        <w:t>NOTE</w:t>
      </w:r>
      <w:r>
        <w:rPr>
          <w:sz w:val="28"/>
          <w:szCs w:val="28"/>
        </w:rPr>
        <w:t>:  These meeting minutes are written in the original TEP OASIS template.  This template contains highlighted notes and action items for development of ce</w:t>
      </w:r>
      <w:r>
        <w:rPr>
          <w:sz w:val="28"/>
          <w:szCs w:val="28"/>
        </w:rPr>
        <w:t>r</w:t>
      </w:r>
      <w:r>
        <w:rPr>
          <w:sz w:val="28"/>
          <w:szCs w:val="28"/>
        </w:rPr>
        <w:t>tain content.  Other action item references refer to the actual TEP committee wor</w:t>
      </w:r>
      <w:r>
        <w:rPr>
          <w:sz w:val="28"/>
          <w:szCs w:val="28"/>
        </w:rPr>
        <w:t>k</w:t>
      </w:r>
      <w:r>
        <w:rPr>
          <w:sz w:val="28"/>
          <w:szCs w:val="28"/>
        </w:rPr>
        <w:t>ing draft 02, where the OASIS editor (Werner Joerg) has highlighted areas of p</w:t>
      </w:r>
      <w:r>
        <w:rPr>
          <w:sz w:val="28"/>
          <w:szCs w:val="28"/>
        </w:rPr>
        <w:t>o</w:t>
      </w:r>
      <w:r>
        <w:rPr>
          <w:sz w:val="28"/>
          <w:szCs w:val="28"/>
        </w:rPr>
        <w:t>tential issue or inconsistency.</w:t>
      </w:r>
    </w:p>
    <w:p w:rsidR="00534B6E" w:rsidRDefault="00534B6E">
      <w:pPr>
        <w:spacing w:after="0"/>
        <w:rPr>
          <w:sz w:val="28"/>
          <w:szCs w:val="28"/>
        </w:rPr>
      </w:pPr>
    </w:p>
    <w:p w:rsidR="00CB6006" w:rsidRPr="00C65D81" w:rsidRDefault="00CB6006">
      <w:pPr>
        <w:spacing w:after="0"/>
        <w:rPr>
          <w:b/>
          <w:sz w:val="28"/>
          <w:szCs w:val="28"/>
          <w:u w:val="single"/>
        </w:rPr>
      </w:pPr>
      <w:r w:rsidRPr="00C65D81">
        <w:rPr>
          <w:b/>
          <w:sz w:val="28"/>
          <w:szCs w:val="28"/>
          <w:u w:val="single"/>
        </w:rPr>
        <w:t>AGENDA:</w:t>
      </w:r>
    </w:p>
    <w:p w:rsidR="006D7DE7" w:rsidRDefault="00CB6006" w:rsidP="006D7DE7">
      <w:pPr>
        <w:pStyle w:val="ListParagraph"/>
        <w:numPr>
          <w:ilvl w:val="0"/>
          <w:numId w:val="123"/>
        </w:numPr>
        <w:spacing w:after="0"/>
        <w:rPr>
          <w:sz w:val="28"/>
          <w:szCs w:val="28"/>
        </w:rPr>
      </w:pPr>
      <w:r w:rsidRPr="006D7DE7">
        <w:rPr>
          <w:sz w:val="28"/>
          <w:szCs w:val="28"/>
        </w:rPr>
        <w:t>Review TEP template</w:t>
      </w:r>
      <w:r w:rsidR="006D7DE7" w:rsidRPr="006D7DE7">
        <w:rPr>
          <w:sz w:val="28"/>
          <w:szCs w:val="28"/>
        </w:rPr>
        <w:t xml:space="preserve">, </w:t>
      </w:r>
      <w:r w:rsidRPr="006D7DE7">
        <w:rPr>
          <w:sz w:val="28"/>
          <w:szCs w:val="28"/>
        </w:rPr>
        <w:t xml:space="preserve">content </w:t>
      </w:r>
      <w:r w:rsidR="006D7DE7" w:rsidRPr="006D7DE7">
        <w:rPr>
          <w:sz w:val="28"/>
          <w:szCs w:val="28"/>
        </w:rPr>
        <w:t>completed</w:t>
      </w:r>
      <w:r w:rsidRPr="006D7DE7">
        <w:rPr>
          <w:sz w:val="28"/>
          <w:szCs w:val="28"/>
        </w:rPr>
        <w:t xml:space="preserve"> to date, </w:t>
      </w:r>
      <w:r w:rsidR="006D7DE7" w:rsidRPr="006D7DE7">
        <w:rPr>
          <w:sz w:val="28"/>
          <w:szCs w:val="28"/>
        </w:rPr>
        <w:t>and outstanding action items</w:t>
      </w:r>
    </w:p>
    <w:p w:rsidR="006D7DE7" w:rsidRPr="006D7DE7" w:rsidRDefault="006D7DE7" w:rsidP="006D7DE7">
      <w:pPr>
        <w:pStyle w:val="ListParagraph"/>
        <w:numPr>
          <w:ilvl w:val="0"/>
          <w:numId w:val="123"/>
        </w:numPr>
        <w:spacing w:after="0"/>
        <w:rPr>
          <w:sz w:val="28"/>
          <w:szCs w:val="28"/>
        </w:rPr>
      </w:pPr>
      <w:r>
        <w:rPr>
          <w:sz w:val="28"/>
          <w:szCs w:val="28"/>
        </w:rPr>
        <w:t>Determine next steps and schedule to initiate Subcommittee review, and vote for submission to the EM-TC for vote</w:t>
      </w:r>
    </w:p>
    <w:p w:rsidR="00CB6006" w:rsidRDefault="00CB6006">
      <w:pPr>
        <w:spacing w:after="0"/>
        <w:rPr>
          <w:sz w:val="28"/>
          <w:szCs w:val="28"/>
        </w:rPr>
      </w:pPr>
    </w:p>
    <w:p w:rsidR="00FC3412" w:rsidRDefault="00FC3412" w:rsidP="006D7DE7">
      <w:pPr>
        <w:pStyle w:val="ListParagraph"/>
        <w:numPr>
          <w:ilvl w:val="0"/>
          <w:numId w:val="124"/>
        </w:numPr>
        <w:spacing w:after="0"/>
        <w:rPr>
          <w:sz w:val="28"/>
          <w:szCs w:val="28"/>
        </w:rPr>
      </w:pPr>
      <w:r w:rsidRPr="00FC3412">
        <w:rPr>
          <w:color w:val="FF0000"/>
          <w:sz w:val="28"/>
          <w:szCs w:val="28"/>
        </w:rPr>
        <w:t>Patti/Rex</w:t>
      </w:r>
      <w:r>
        <w:rPr>
          <w:sz w:val="28"/>
          <w:szCs w:val="28"/>
        </w:rPr>
        <w:t>:  Graphic of the TEP model.  Werner suggests that the visual is overloaded and not useful.  Suggests it be broken into 3 additional sub-sections for easier reference and understandability.  Tim feels it is non-normative and good for quick reference and understanding of overall entities and relationships as is.</w:t>
      </w:r>
    </w:p>
    <w:p w:rsidR="00FC3412" w:rsidRDefault="00FC3412" w:rsidP="00FC3412">
      <w:pPr>
        <w:pStyle w:val="ListParagraph"/>
        <w:numPr>
          <w:ilvl w:val="1"/>
          <w:numId w:val="124"/>
        </w:numPr>
        <w:spacing w:after="0"/>
        <w:rPr>
          <w:sz w:val="28"/>
          <w:szCs w:val="28"/>
        </w:rPr>
      </w:pPr>
      <w:r w:rsidRPr="00FC3412">
        <w:rPr>
          <w:color w:val="FF0000"/>
          <w:sz w:val="28"/>
          <w:szCs w:val="28"/>
        </w:rPr>
        <w:t>Patti/Rex</w:t>
      </w:r>
      <w:r>
        <w:rPr>
          <w:sz w:val="28"/>
          <w:szCs w:val="28"/>
        </w:rPr>
        <w:t>:  Meet to determine best approach at this juncture for su</w:t>
      </w:r>
      <w:r>
        <w:rPr>
          <w:sz w:val="28"/>
          <w:szCs w:val="28"/>
        </w:rPr>
        <w:t>b</w:t>
      </w:r>
      <w:r>
        <w:rPr>
          <w:sz w:val="28"/>
          <w:szCs w:val="28"/>
        </w:rPr>
        <w:t>mission into public review, and modify as you see fit.</w:t>
      </w:r>
    </w:p>
    <w:p w:rsidR="006D7DE7" w:rsidRDefault="00534B6E" w:rsidP="006D7DE7">
      <w:pPr>
        <w:pStyle w:val="ListParagraph"/>
        <w:numPr>
          <w:ilvl w:val="0"/>
          <w:numId w:val="124"/>
        </w:numPr>
        <w:spacing w:after="0"/>
        <w:rPr>
          <w:sz w:val="28"/>
          <w:szCs w:val="28"/>
        </w:rPr>
      </w:pPr>
      <w:r>
        <w:rPr>
          <w:sz w:val="28"/>
          <w:szCs w:val="28"/>
        </w:rPr>
        <w:t>Data Dictionary</w:t>
      </w:r>
    </w:p>
    <w:p w:rsidR="00534B6E" w:rsidRDefault="00534B6E" w:rsidP="00534B6E">
      <w:pPr>
        <w:pStyle w:val="ListParagraph"/>
        <w:numPr>
          <w:ilvl w:val="1"/>
          <w:numId w:val="124"/>
        </w:numPr>
        <w:spacing w:after="0"/>
        <w:rPr>
          <w:sz w:val="28"/>
          <w:szCs w:val="28"/>
        </w:rPr>
      </w:pPr>
      <w:r w:rsidRPr="00D40D14">
        <w:rPr>
          <w:color w:val="FF0000"/>
          <w:sz w:val="28"/>
          <w:szCs w:val="28"/>
        </w:rPr>
        <w:t xml:space="preserve">Werner </w:t>
      </w:r>
      <w:r>
        <w:rPr>
          <w:sz w:val="28"/>
          <w:szCs w:val="28"/>
        </w:rPr>
        <w:t xml:space="preserve">identified (highlighted in yellow in latest version </w:t>
      </w:r>
      <w:r w:rsidR="00C65D81">
        <w:rPr>
          <w:sz w:val="28"/>
          <w:szCs w:val="28"/>
        </w:rPr>
        <w:t>working draft 02), inconsistencies between the data dictionary and the schema.</w:t>
      </w:r>
    </w:p>
    <w:p w:rsidR="00C65D81" w:rsidRDefault="00C65D81" w:rsidP="00534B6E">
      <w:pPr>
        <w:pStyle w:val="ListParagraph"/>
        <w:numPr>
          <w:ilvl w:val="1"/>
          <w:numId w:val="124"/>
        </w:numPr>
        <w:spacing w:after="0"/>
        <w:rPr>
          <w:sz w:val="28"/>
          <w:szCs w:val="28"/>
        </w:rPr>
      </w:pPr>
      <w:r w:rsidRPr="00D40D14">
        <w:rPr>
          <w:color w:val="FF0000"/>
          <w:sz w:val="28"/>
          <w:szCs w:val="28"/>
        </w:rPr>
        <w:t>Brian</w:t>
      </w:r>
      <w:r>
        <w:rPr>
          <w:sz w:val="28"/>
          <w:szCs w:val="28"/>
        </w:rPr>
        <w:t xml:space="preserve">:  </w:t>
      </w:r>
      <w:r w:rsidR="00871FB1">
        <w:rPr>
          <w:sz w:val="28"/>
          <w:szCs w:val="28"/>
        </w:rPr>
        <w:t xml:space="preserve">(after Werner completes mark-ups ETA Monday Aug. 20) </w:t>
      </w:r>
      <w:r>
        <w:rPr>
          <w:sz w:val="28"/>
          <w:szCs w:val="28"/>
        </w:rPr>
        <w:t>R</w:t>
      </w:r>
      <w:r>
        <w:rPr>
          <w:sz w:val="28"/>
          <w:szCs w:val="28"/>
        </w:rPr>
        <w:t>e</w:t>
      </w:r>
      <w:r>
        <w:rPr>
          <w:sz w:val="28"/>
          <w:szCs w:val="28"/>
        </w:rPr>
        <w:t xml:space="preserve">quest review / confirmation of </w:t>
      </w:r>
      <w:r w:rsidR="00871FB1">
        <w:rPr>
          <w:sz w:val="28"/>
          <w:szCs w:val="28"/>
        </w:rPr>
        <w:t>which</w:t>
      </w:r>
      <w:r>
        <w:rPr>
          <w:sz w:val="28"/>
          <w:szCs w:val="28"/>
        </w:rPr>
        <w:t xml:space="preserve"> artifact </w:t>
      </w:r>
      <w:proofErr w:type="gramStart"/>
      <w:r>
        <w:rPr>
          <w:sz w:val="28"/>
          <w:szCs w:val="28"/>
        </w:rPr>
        <w:t>is</w:t>
      </w:r>
      <w:proofErr w:type="gramEnd"/>
      <w:r>
        <w:rPr>
          <w:sz w:val="28"/>
          <w:szCs w:val="28"/>
        </w:rPr>
        <w:t xml:space="preserve"> correct / takes prec</w:t>
      </w:r>
      <w:r>
        <w:rPr>
          <w:sz w:val="28"/>
          <w:szCs w:val="28"/>
        </w:rPr>
        <w:t>e</w:t>
      </w:r>
      <w:r>
        <w:rPr>
          <w:sz w:val="28"/>
          <w:szCs w:val="28"/>
        </w:rPr>
        <w:t>dence, make changes to the schema where appropriate</w:t>
      </w:r>
      <w:r w:rsidR="00FC3412">
        <w:rPr>
          <w:sz w:val="28"/>
          <w:szCs w:val="28"/>
        </w:rPr>
        <w:t>.  Also, some naming is different and must be resolved.</w:t>
      </w:r>
    </w:p>
    <w:p w:rsidR="00C65D81" w:rsidRDefault="00C65D81" w:rsidP="00534B6E">
      <w:pPr>
        <w:pStyle w:val="ListParagraph"/>
        <w:numPr>
          <w:ilvl w:val="1"/>
          <w:numId w:val="124"/>
        </w:numPr>
        <w:spacing w:after="0"/>
        <w:rPr>
          <w:sz w:val="28"/>
          <w:szCs w:val="28"/>
        </w:rPr>
      </w:pPr>
      <w:r w:rsidRPr="00FC3412">
        <w:rPr>
          <w:color w:val="FF0000"/>
          <w:sz w:val="28"/>
          <w:szCs w:val="28"/>
        </w:rPr>
        <w:t>TBD resource</w:t>
      </w:r>
      <w:r>
        <w:rPr>
          <w:sz w:val="28"/>
          <w:szCs w:val="28"/>
        </w:rPr>
        <w:t xml:space="preserve">:  Make changes to the committee spec DD based on the outcome of Brian’s </w:t>
      </w:r>
      <w:r w:rsidR="00871FB1">
        <w:rPr>
          <w:sz w:val="28"/>
          <w:szCs w:val="28"/>
        </w:rPr>
        <w:t>analysis</w:t>
      </w:r>
    </w:p>
    <w:p w:rsidR="00C65D81" w:rsidRDefault="00C65D81" w:rsidP="00C65D81">
      <w:pPr>
        <w:pStyle w:val="ListParagraph"/>
        <w:numPr>
          <w:ilvl w:val="0"/>
          <w:numId w:val="124"/>
        </w:numPr>
        <w:spacing w:after="0"/>
        <w:rPr>
          <w:sz w:val="28"/>
          <w:szCs w:val="28"/>
        </w:rPr>
      </w:pPr>
      <w:r>
        <w:rPr>
          <w:sz w:val="28"/>
          <w:szCs w:val="28"/>
        </w:rPr>
        <w:t xml:space="preserve"> </w:t>
      </w:r>
      <w:r w:rsidR="005F27D9" w:rsidRPr="00D40D14">
        <w:rPr>
          <w:color w:val="FF0000"/>
          <w:sz w:val="28"/>
          <w:szCs w:val="28"/>
        </w:rPr>
        <w:t>Tim</w:t>
      </w:r>
      <w:r w:rsidR="005F27D9">
        <w:rPr>
          <w:sz w:val="28"/>
          <w:szCs w:val="28"/>
        </w:rPr>
        <w:t>: Complete the “Usage Scenarios” section</w:t>
      </w:r>
    </w:p>
    <w:p w:rsidR="00D40D14" w:rsidRDefault="00D40D14" w:rsidP="00D40D14">
      <w:pPr>
        <w:pStyle w:val="ListParagraph"/>
        <w:numPr>
          <w:ilvl w:val="1"/>
          <w:numId w:val="124"/>
        </w:numPr>
        <w:spacing w:after="0"/>
        <w:rPr>
          <w:sz w:val="28"/>
          <w:szCs w:val="28"/>
        </w:rPr>
      </w:pPr>
      <w:r>
        <w:rPr>
          <w:sz w:val="28"/>
          <w:szCs w:val="28"/>
        </w:rPr>
        <w:t>Cover here and sentence in DE section:  Usage of multiple TEP me</w:t>
      </w:r>
      <w:r>
        <w:rPr>
          <w:sz w:val="28"/>
          <w:szCs w:val="28"/>
        </w:rPr>
        <w:t>s</w:t>
      </w:r>
      <w:r>
        <w:rPr>
          <w:sz w:val="28"/>
          <w:szCs w:val="28"/>
        </w:rPr>
        <w:t>sage within one DE</w:t>
      </w:r>
    </w:p>
    <w:p w:rsidR="005F27D9" w:rsidRDefault="00D40D14" w:rsidP="00C65D81">
      <w:pPr>
        <w:pStyle w:val="ListParagraph"/>
        <w:numPr>
          <w:ilvl w:val="0"/>
          <w:numId w:val="124"/>
        </w:numPr>
        <w:spacing w:after="0"/>
        <w:rPr>
          <w:sz w:val="28"/>
          <w:szCs w:val="28"/>
        </w:rPr>
      </w:pPr>
      <w:r w:rsidRPr="00D40D14">
        <w:rPr>
          <w:color w:val="FF0000"/>
          <w:sz w:val="28"/>
          <w:szCs w:val="28"/>
        </w:rPr>
        <w:t>Tim</w:t>
      </w:r>
      <w:r>
        <w:rPr>
          <w:sz w:val="28"/>
          <w:szCs w:val="28"/>
        </w:rPr>
        <w:t>:  Section 3.4 “TEP elements” – Determine what goes here.</w:t>
      </w:r>
    </w:p>
    <w:p w:rsidR="00D40D14" w:rsidRDefault="00D40D14" w:rsidP="00C65D81">
      <w:pPr>
        <w:pStyle w:val="ListParagraph"/>
        <w:numPr>
          <w:ilvl w:val="0"/>
          <w:numId w:val="124"/>
        </w:numPr>
        <w:spacing w:after="0"/>
        <w:rPr>
          <w:sz w:val="28"/>
          <w:szCs w:val="28"/>
        </w:rPr>
      </w:pPr>
      <w:r>
        <w:rPr>
          <w:sz w:val="28"/>
          <w:szCs w:val="28"/>
        </w:rPr>
        <w:t>DE section:  Decouple such that any DE changes do not affect the TEP standard.  Only discuss usage of DE which assists required TEP functional</w:t>
      </w:r>
      <w:r>
        <w:rPr>
          <w:sz w:val="28"/>
          <w:szCs w:val="28"/>
        </w:rPr>
        <w:t>i</w:t>
      </w:r>
      <w:r>
        <w:rPr>
          <w:sz w:val="28"/>
          <w:szCs w:val="28"/>
        </w:rPr>
        <w:t>ty</w:t>
      </w:r>
    </w:p>
    <w:p w:rsidR="00B6364A" w:rsidRDefault="00B6364A" w:rsidP="00D40D14">
      <w:pPr>
        <w:pStyle w:val="ListParagraph"/>
        <w:numPr>
          <w:ilvl w:val="0"/>
          <w:numId w:val="124"/>
        </w:numPr>
        <w:spacing w:after="0"/>
        <w:rPr>
          <w:sz w:val="28"/>
          <w:szCs w:val="28"/>
        </w:rPr>
      </w:pPr>
      <w:r w:rsidRPr="00B6364A">
        <w:rPr>
          <w:color w:val="FF0000"/>
          <w:sz w:val="28"/>
          <w:szCs w:val="28"/>
        </w:rPr>
        <w:t>Brian</w:t>
      </w:r>
      <w:r>
        <w:rPr>
          <w:sz w:val="28"/>
          <w:szCs w:val="28"/>
        </w:rPr>
        <w:t>:  Werner identified areas in the schema where the design is “flat” e.g. “age” and feels we need structure.  He will ID other such areas</w:t>
      </w:r>
    </w:p>
    <w:p w:rsidR="00B6364A" w:rsidRDefault="00B6364A" w:rsidP="00B6364A">
      <w:pPr>
        <w:pStyle w:val="ListParagraph"/>
        <w:numPr>
          <w:ilvl w:val="1"/>
          <w:numId w:val="124"/>
        </w:numPr>
        <w:spacing w:after="0"/>
        <w:rPr>
          <w:sz w:val="28"/>
          <w:szCs w:val="28"/>
        </w:rPr>
      </w:pPr>
      <w:r>
        <w:rPr>
          <w:sz w:val="28"/>
          <w:szCs w:val="28"/>
        </w:rPr>
        <w:t>Need to verify whether these were explicit decisions for simplicity of development and use, or an oversight.</w:t>
      </w:r>
    </w:p>
    <w:p w:rsidR="00D40D14" w:rsidRPr="006D7DE7" w:rsidRDefault="00D40D14" w:rsidP="00D40D14">
      <w:pPr>
        <w:pStyle w:val="ListParagraph"/>
        <w:numPr>
          <w:ilvl w:val="0"/>
          <w:numId w:val="124"/>
        </w:numPr>
        <w:spacing w:after="0"/>
        <w:rPr>
          <w:sz w:val="28"/>
          <w:szCs w:val="28"/>
        </w:rPr>
      </w:pPr>
      <w:r>
        <w:rPr>
          <w:sz w:val="28"/>
          <w:szCs w:val="28"/>
        </w:rPr>
        <w:t xml:space="preserve">Data Dictionary:  In reference to the last meeting notes (excerpt below), </w:t>
      </w:r>
      <w:r w:rsidRPr="00D40D14">
        <w:rPr>
          <w:color w:val="FF0000"/>
          <w:sz w:val="28"/>
          <w:szCs w:val="28"/>
        </w:rPr>
        <w:t xml:space="preserve">Werner </w:t>
      </w:r>
      <w:r>
        <w:rPr>
          <w:sz w:val="28"/>
          <w:szCs w:val="28"/>
        </w:rPr>
        <w:t>has reverted back to the Data Dictionary format and methodology utilized in all previous EDXL standards</w:t>
      </w:r>
      <w:r>
        <w:rPr>
          <w:sz w:val="28"/>
          <w:szCs w:val="28"/>
        </w:rPr>
        <w:br/>
        <w:t>---</w:t>
      </w:r>
    </w:p>
    <w:p w:rsidR="00D40D14" w:rsidRPr="002972DA" w:rsidRDefault="00D40D14" w:rsidP="00D40D14">
      <w:pPr>
        <w:spacing w:after="0"/>
        <w:rPr>
          <w:sz w:val="28"/>
          <w:szCs w:val="28"/>
        </w:rPr>
      </w:pPr>
      <w:r>
        <w:rPr>
          <w:sz w:val="28"/>
          <w:szCs w:val="28"/>
        </w:rPr>
        <w:t xml:space="preserve">Reference:  section </w:t>
      </w:r>
      <w:r w:rsidRPr="002972DA">
        <w:rPr>
          <w:sz w:val="28"/>
          <w:szCs w:val="28"/>
        </w:rPr>
        <w:t>4.3</w:t>
      </w:r>
      <w:r w:rsidRPr="002972DA">
        <w:rPr>
          <w:sz w:val="28"/>
          <w:szCs w:val="28"/>
        </w:rPr>
        <w:tab/>
        <w:t>TEP Message</w:t>
      </w:r>
      <w:r>
        <w:rPr>
          <w:sz w:val="28"/>
          <w:szCs w:val="28"/>
        </w:rPr>
        <w:t xml:space="preserve"> in the Data Dictionary</w:t>
      </w:r>
    </w:p>
    <w:p w:rsidR="00D40D14" w:rsidRPr="002972DA" w:rsidRDefault="00D40D14" w:rsidP="00D40D14">
      <w:pPr>
        <w:spacing w:after="0"/>
        <w:rPr>
          <w:sz w:val="28"/>
          <w:szCs w:val="28"/>
        </w:rPr>
      </w:pPr>
      <w:r>
        <w:rPr>
          <w:sz w:val="28"/>
          <w:szCs w:val="28"/>
        </w:rPr>
        <w:t>Werner would like to change the way Data Dictionaries are specified, in his opi</w:t>
      </w:r>
      <w:r>
        <w:rPr>
          <w:sz w:val="28"/>
          <w:szCs w:val="28"/>
        </w:rPr>
        <w:t>n</w:t>
      </w:r>
      <w:r>
        <w:rPr>
          <w:sz w:val="28"/>
          <w:szCs w:val="28"/>
        </w:rPr>
        <w:t xml:space="preserve">ion to simplify for reference by implementers.  Werner took a different approach to the Data Dictionary than has been pursued in any of the previous standards, simply put by specifying types vs. specification of specific elements </w:t>
      </w:r>
      <w:r w:rsidRPr="002972DA">
        <w:rPr>
          <w:sz w:val="28"/>
          <w:szCs w:val="28"/>
        </w:rPr>
        <w:t>and element defin</w:t>
      </w:r>
      <w:r w:rsidRPr="002972DA">
        <w:rPr>
          <w:sz w:val="28"/>
          <w:szCs w:val="28"/>
        </w:rPr>
        <w:t>i</w:t>
      </w:r>
      <w:r w:rsidRPr="002972DA">
        <w:rPr>
          <w:sz w:val="28"/>
          <w:szCs w:val="28"/>
        </w:rPr>
        <w:t>tions, and then define complex elements with sub-elements, and then define each (sub) element.</w:t>
      </w:r>
    </w:p>
    <w:p w:rsidR="00D40D14" w:rsidRDefault="00D40D14" w:rsidP="00D40D14">
      <w:pPr>
        <w:spacing w:after="0"/>
        <w:rPr>
          <w:sz w:val="28"/>
          <w:szCs w:val="28"/>
        </w:rPr>
      </w:pPr>
      <w:r>
        <w:rPr>
          <w:sz w:val="28"/>
          <w:szCs w:val="28"/>
        </w:rPr>
        <w:t>Patti and Werner were the primary debaters, and will not attempt to capture the a</w:t>
      </w:r>
      <w:r>
        <w:rPr>
          <w:sz w:val="28"/>
          <w:szCs w:val="28"/>
        </w:rPr>
        <w:t>p</w:t>
      </w:r>
      <w:r>
        <w:rPr>
          <w:sz w:val="28"/>
          <w:szCs w:val="28"/>
        </w:rPr>
        <w:t>proach and differences here.  To be further discussed as the call went long.  Clear opinions are on the table with Werner, Patti and Tim.  Need to come to a decision, or raise the issue to the EM-TC level as it alters our consistent approach to prev</w:t>
      </w:r>
      <w:r>
        <w:rPr>
          <w:sz w:val="28"/>
          <w:szCs w:val="28"/>
        </w:rPr>
        <w:t>i</w:t>
      </w:r>
      <w:r>
        <w:rPr>
          <w:sz w:val="28"/>
          <w:szCs w:val="28"/>
        </w:rPr>
        <w:t>ous standards.</w:t>
      </w:r>
    </w:p>
    <w:p w:rsidR="00D40D14" w:rsidRDefault="00D40D14" w:rsidP="00D40D14">
      <w:pPr>
        <w:spacing w:after="0"/>
        <w:ind w:firstLine="360"/>
        <w:rPr>
          <w:sz w:val="28"/>
          <w:szCs w:val="28"/>
        </w:rPr>
      </w:pPr>
      <w:r>
        <w:rPr>
          <w:sz w:val="28"/>
          <w:szCs w:val="28"/>
        </w:rPr>
        <w:t>---</w:t>
      </w:r>
    </w:p>
    <w:p w:rsidR="00D40D14" w:rsidRPr="006D7DE7" w:rsidRDefault="00D40D14" w:rsidP="00D40D14">
      <w:pPr>
        <w:pStyle w:val="ListParagraph"/>
        <w:numPr>
          <w:ilvl w:val="0"/>
          <w:numId w:val="124"/>
        </w:numPr>
        <w:spacing w:after="0"/>
        <w:rPr>
          <w:sz w:val="28"/>
          <w:szCs w:val="28"/>
        </w:rPr>
      </w:pPr>
    </w:p>
    <w:p w:rsidR="002972DA" w:rsidRDefault="002972DA" w:rsidP="002972DA">
      <w:pPr>
        <w:spacing w:after="0"/>
        <w:rPr>
          <w:sz w:val="28"/>
          <w:szCs w:val="28"/>
        </w:rPr>
      </w:pPr>
    </w:p>
    <w:p w:rsidR="00CB6006" w:rsidRDefault="00CB6006" w:rsidP="002972DA">
      <w:pPr>
        <w:spacing w:after="0"/>
        <w:rPr>
          <w:sz w:val="28"/>
          <w:szCs w:val="28"/>
        </w:rPr>
      </w:pPr>
      <w:r>
        <w:rPr>
          <w:sz w:val="28"/>
          <w:szCs w:val="28"/>
        </w:rPr>
        <w:br w:type="page"/>
      </w:r>
    </w:p>
    <w:p w:rsidR="00CE2D9F" w:rsidRPr="00CB6006" w:rsidRDefault="00CE2D9F" w:rsidP="002972DA">
      <w:pPr>
        <w:spacing w:after="0"/>
        <w:rPr>
          <w:sz w:val="28"/>
          <w:szCs w:val="28"/>
        </w:rPr>
      </w:pPr>
    </w:p>
    <w:p w:rsidR="00CB6006" w:rsidRDefault="00CB6006">
      <w:pPr>
        <w:pStyle w:val="Title"/>
        <w:spacing w:after="43"/>
        <w:rPr>
          <w:sz w:val="28"/>
          <w:szCs w:val="28"/>
        </w:rPr>
      </w:pPr>
    </w:p>
    <w:p w:rsidR="00CB6006" w:rsidRDefault="00CB6006">
      <w:pPr>
        <w:pStyle w:val="Title"/>
        <w:spacing w:after="43"/>
        <w:rPr>
          <w:sz w:val="28"/>
          <w:szCs w:val="28"/>
        </w:rPr>
      </w:pPr>
    </w:p>
    <w:p w:rsidR="00323F52" w:rsidRDefault="00766D7F">
      <w:pPr>
        <w:pStyle w:val="Title"/>
        <w:spacing w:after="43"/>
        <w:rPr>
          <w:sz w:val="28"/>
          <w:szCs w:val="28"/>
        </w:rPr>
      </w:pPr>
      <w:r>
        <w:rPr>
          <w:sz w:val="28"/>
          <w:szCs w:val="28"/>
        </w:rPr>
        <w:t>Emergency Data Exchange Language (EDXL)</w:t>
      </w:r>
    </w:p>
    <w:p w:rsidR="00323F52" w:rsidRDefault="00766D7F">
      <w:pPr>
        <w:pStyle w:val="Title"/>
        <w:spacing w:after="43"/>
        <w:rPr>
          <w:sz w:val="28"/>
          <w:szCs w:val="28"/>
        </w:rPr>
      </w:pPr>
      <w:r>
        <w:rPr>
          <w:sz w:val="28"/>
          <w:szCs w:val="28"/>
        </w:rPr>
        <w:t>Tracking of Emergency Patients (TEP)</w:t>
      </w:r>
    </w:p>
    <w:p w:rsidR="00323F52" w:rsidRDefault="00766D7F">
      <w:pPr>
        <w:pStyle w:val="Title"/>
        <w:rPr>
          <w:sz w:val="28"/>
          <w:szCs w:val="28"/>
        </w:rPr>
      </w:pPr>
      <w:r>
        <w:rPr>
          <w:sz w:val="28"/>
          <w:szCs w:val="28"/>
        </w:rPr>
        <w:t>Version 1.0</w:t>
      </w:r>
    </w:p>
    <w:p w:rsidR="00323F52" w:rsidRDefault="00766D7F">
      <w:pPr>
        <w:pStyle w:val="Subtitle"/>
        <w:rPr>
          <w:sz w:val="24"/>
          <w:szCs w:val="24"/>
        </w:rPr>
      </w:pPr>
      <w:r>
        <w:rPr>
          <w:sz w:val="24"/>
          <w:szCs w:val="24"/>
        </w:rPr>
        <w:t>Working Draft 01</w:t>
      </w:r>
    </w:p>
    <w:p w:rsidR="00323F52" w:rsidRDefault="00766D7F">
      <w:pPr>
        <w:pStyle w:val="Subtitle"/>
        <w:rPr>
          <w:sz w:val="24"/>
          <w:szCs w:val="24"/>
        </w:rPr>
      </w:pPr>
      <w:r>
        <w:rPr>
          <w:sz w:val="24"/>
          <w:szCs w:val="24"/>
        </w:rPr>
        <w:t>01 June 2012</w:t>
      </w:r>
    </w:p>
    <w:p w:rsidR="00323F52" w:rsidRDefault="00766D7F">
      <w:pPr>
        <w:pStyle w:val="Titlepageinfo"/>
      </w:pPr>
      <w:r>
        <w:t>Technical Committee:</w:t>
      </w:r>
    </w:p>
    <w:p w:rsidR="00323F52" w:rsidRDefault="00B64454">
      <w:pPr>
        <w:pStyle w:val="Titlepageinfodescription"/>
      </w:pPr>
      <w:hyperlink r:id="rId8" w:history="1">
        <w:r w:rsidR="00766D7F">
          <w:rPr>
            <w:rStyle w:val="Hyperlink"/>
          </w:rPr>
          <w:t>OASIS Emergency Management TC</w:t>
        </w:r>
      </w:hyperlink>
    </w:p>
    <w:p w:rsidR="00323F52" w:rsidRDefault="00766D7F">
      <w:pPr>
        <w:pStyle w:val="Titlepageinfo"/>
      </w:pPr>
      <w:r>
        <w:t>Chair:</w:t>
      </w:r>
    </w:p>
    <w:p w:rsidR="00323F52" w:rsidRDefault="00766D7F">
      <w:pPr>
        <w:pStyle w:val="Titlepageinfodescription"/>
      </w:pPr>
      <w:r>
        <w:t>Elysa Jones (</w:t>
      </w:r>
      <w:hyperlink r:id="rId9" w:history="1">
        <w:r>
          <w:rPr>
            <w:rStyle w:val="Hyperlink"/>
          </w:rPr>
          <w:t>elysajones@yahoo.com</w:t>
        </w:r>
      </w:hyperlink>
      <w:r>
        <w:t>), Individual</w:t>
      </w:r>
    </w:p>
    <w:p w:rsidR="00323F52" w:rsidRDefault="00766D7F">
      <w:pPr>
        <w:pStyle w:val="Titlepageinfo"/>
      </w:pPr>
      <w:r>
        <w:t>Editor:</w:t>
      </w:r>
    </w:p>
    <w:p w:rsidR="00323F52" w:rsidRDefault="00766D7F">
      <w:pPr>
        <w:pStyle w:val="Titlepageinfodescription"/>
      </w:pPr>
      <w:r>
        <w:t>Werner Joerg (</w:t>
      </w:r>
      <w:hyperlink r:id="rId10" w:history="1">
        <w:r>
          <w:rPr>
            <w:rStyle w:val="Hyperlink"/>
          </w:rPr>
          <w:t>Werner.Joerg@iem.com</w:t>
        </w:r>
      </w:hyperlink>
      <w:r>
        <w:t xml:space="preserve">), </w:t>
      </w:r>
      <w:hyperlink r:id="rId11" w:history="1">
        <w:r>
          <w:rPr>
            <w:rStyle w:val="Hyperlink"/>
          </w:rPr>
          <w:t>IEM, Inc</w:t>
        </w:r>
      </w:hyperlink>
      <w:r>
        <w:rPr>
          <w:rStyle w:val="Hyperlink"/>
        </w:rPr>
        <w:t>.</w:t>
      </w:r>
    </w:p>
    <w:p w:rsidR="00323F52" w:rsidRDefault="00766D7F">
      <w:pPr>
        <w:pStyle w:val="Titlepageinfo"/>
      </w:pPr>
      <w:r>
        <w:t>Additional artifacts:</w:t>
      </w:r>
    </w:p>
    <w:p w:rsidR="00323F52" w:rsidRDefault="00766D7F">
      <w:pPr>
        <w:pStyle w:val="Titlepageinfodescription"/>
      </w:pPr>
      <w:r>
        <w:t>This prose specification is one component of a Work Product which also includes:</w:t>
      </w:r>
    </w:p>
    <w:p w:rsidR="00323F52" w:rsidRDefault="00766D7F">
      <w:pPr>
        <w:pStyle w:val="RelatedWork"/>
        <w:numPr>
          <w:ilvl w:val="0"/>
          <w:numId w:val="108"/>
        </w:numPr>
      </w:pPr>
      <w:r>
        <w:t xml:space="preserve">XML schemas: </w:t>
      </w:r>
      <w:proofErr w:type="spellStart"/>
      <w:r>
        <w:t>tbd</w:t>
      </w:r>
      <w:proofErr w:type="spellEnd"/>
    </w:p>
    <w:p w:rsidR="00323F52" w:rsidRDefault="00766D7F">
      <w:pPr>
        <w:pStyle w:val="RelatedWork"/>
      </w:pPr>
      <w:r>
        <w:t xml:space="preserve">XML examples: </w:t>
      </w:r>
      <w:proofErr w:type="spellStart"/>
      <w:r>
        <w:t>tbd</w:t>
      </w:r>
      <w:proofErr w:type="spellEnd"/>
    </w:p>
    <w:p w:rsidR="00323F52" w:rsidRDefault="00766D7F">
      <w:pPr>
        <w:pStyle w:val="Titlepageinfo"/>
      </w:pPr>
      <w:r>
        <w:t>Related work:</w:t>
      </w:r>
    </w:p>
    <w:p w:rsidR="00323F52" w:rsidRDefault="00766D7F">
      <w:pPr>
        <w:pStyle w:val="Titlepageinfodescription"/>
      </w:pPr>
      <w:r>
        <w:t>This specification is related to:</w:t>
      </w:r>
    </w:p>
    <w:p w:rsidR="00323F52" w:rsidRDefault="00766D7F">
      <w:pPr>
        <w:pStyle w:val="RelatedWork"/>
      </w:pPr>
      <w:r>
        <w:t>Emergency Data Exchange Language (EDXL) Distribution Element v2.0</w:t>
      </w:r>
    </w:p>
    <w:p w:rsidR="00323F52" w:rsidRDefault="00766D7F">
      <w:pPr>
        <w:pStyle w:val="RelatedWork"/>
        <w:numPr>
          <w:ilvl w:val="0"/>
          <w:numId w:val="0"/>
        </w:numPr>
        <w:ind w:left="1080" w:hanging="360"/>
      </w:pPr>
      <w:r>
        <w:t>...</w:t>
      </w:r>
    </w:p>
    <w:p w:rsidR="00323F52" w:rsidRDefault="00766D7F">
      <w:pPr>
        <w:pStyle w:val="RelatedWork"/>
      </w:pPr>
      <w:r>
        <w:t>Emergency Data Exchange Language (EDXL) Resource Messaging v1.0,</w:t>
      </w:r>
    </w:p>
    <w:p w:rsidR="00323F52" w:rsidRDefault="00B64454">
      <w:pPr>
        <w:pStyle w:val="RelatedWork"/>
        <w:numPr>
          <w:ilvl w:val="0"/>
          <w:numId w:val="0"/>
        </w:numPr>
        <w:ind w:left="1080" w:hanging="360"/>
      </w:pPr>
      <w:hyperlink r:id="rId12" w:history="1">
        <w:r w:rsidR="00766D7F">
          <w:t>http://docs.oasis-open.org/emergency/edxl-rm/v1.0/errata/EDXL-RM-v1.0-OS-errata-os.html</w:t>
        </w:r>
      </w:hyperlink>
    </w:p>
    <w:p w:rsidR="00323F52" w:rsidRDefault="00766D7F">
      <w:pPr>
        <w:pStyle w:val="RelatedWork"/>
      </w:pPr>
      <w:r>
        <w:t>Emergency Data Exchange Language Common Types v1.0,</w:t>
      </w:r>
    </w:p>
    <w:p w:rsidR="00323F52" w:rsidRDefault="00B64454">
      <w:pPr>
        <w:pStyle w:val="RelatedWork"/>
        <w:numPr>
          <w:ilvl w:val="0"/>
          <w:numId w:val="0"/>
        </w:numPr>
        <w:ind w:left="1080" w:hanging="360"/>
      </w:pPr>
      <w:hyperlink r:id="rId13" w:history="1">
        <w:r w:rsidR="00766D7F">
          <w:t>http://docs.oasis-open.org/emergency/edxl-ct/v1.0/edxl-ct-v1.0.html</w:t>
        </w:r>
      </w:hyperlink>
    </w:p>
    <w:p w:rsidR="00323F52" w:rsidRDefault="00766D7F">
      <w:pPr>
        <w:pStyle w:val="RelatedWork"/>
      </w:pPr>
      <w:r>
        <w:t>Emergency Data Exchange Language Customer Information Quality v1.0,</w:t>
      </w:r>
    </w:p>
    <w:p w:rsidR="00323F52" w:rsidRDefault="00B64454">
      <w:pPr>
        <w:pStyle w:val="RelatedWork"/>
        <w:numPr>
          <w:ilvl w:val="0"/>
          <w:numId w:val="0"/>
        </w:numPr>
        <w:ind w:left="1080" w:hanging="360"/>
      </w:pPr>
      <w:hyperlink r:id="rId14" w:history="1">
        <w:r w:rsidR="00766D7F">
          <w:t>http://docs.oasis-open.org/emergency/edxl-ciq/v1.0/edxl-ciq-v1.0.html</w:t>
        </w:r>
      </w:hyperlink>
    </w:p>
    <w:p w:rsidR="00323F52" w:rsidRDefault="00766D7F">
      <w:pPr>
        <w:pStyle w:val="Titlepageinfo"/>
      </w:pPr>
      <w:r>
        <w:t>Declared XML namespaces:</w:t>
      </w:r>
    </w:p>
    <w:p w:rsidR="00323F52" w:rsidRDefault="00B64454">
      <w:pPr>
        <w:pStyle w:val="RelatedWork"/>
      </w:pPr>
      <w:hyperlink r:id="rId15" w:history="1">
        <w:r w:rsidR="00766D7F">
          <w:t>http://docs.oasis-open.org/emergency/ns/edxl-tep/v1.0</w:t>
        </w:r>
      </w:hyperlink>
    </w:p>
    <w:p w:rsidR="00323F52" w:rsidRDefault="00766D7F">
      <w:pPr>
        <w:pStyle w:val="RelatedWork"/>
      </w:pPr>
      <w:r>
        <w:t>urn:oasis:names:tc:emergency:edxl:tep:1.0</w:t>
      </w:r>
    </w:p>
    <w:p w:rsidR="00323F52" w:rsidRDefault="00766D7F">
      <w:pPr>
        <w:pStyle w:val="Titlepageinfo"/>
      </w:pPr>
      <w:r>
        <w:t>Abstract:</w:t>
      </w:r>
    </w:p>
    <w:p w:rsidR="00323F52" w:rsidRDefault="00766D7F">
      <w:pPr>
        <w:pStyle w:val="Abstract"/>
        <w:autoSpaceDE w:val="0"/>
        <w:rPr>
          <w:rFonts w:eastAsia="Arial, sans-serif"/>
          <w:color w:val="000000"/>
        </w:rPr>
      </w:pPr>
      <w:r>
        <w:rPr>
          <w:rFonts w:eastAsia="Arial, sans-serif"/>
          <w:color w:val="000000"/>
        </w:rPr>
        <w:t>EDXL-TEP is an XML messaging standard primarily for exchange of emergency client (patient) and tracking information during patient encounter through admission or release. TEP supports patient tracking across the EMS emergency medical care continuum, as well as hospital evacuations and patient transfers, providing real-time information to responders, Emergency Management, coordinating organizations and care facilities in the chain of care and transport.</w:t>
      </w:r>
    </w:p>
    <w:p w:rsidR="00323F52" w:rsidRDefault="00766D7F">
      <w:pPr>
        <w:pStyle w:val="Titlepageinfo"/>
      </w:pPr>
      <w:r>
        <w:t>Status:</w:t>
      </w:r>
    </w:p>
    <w:p w:rsidR="00323F52" w:rsidRDefault="00766D7F">
      <w:pPr>
        <w:pStyle w:val="Abstract"/>
      </w:pPr>
      <w:r>
        <w:t xml:space="preserve">This </w:t>
      </w:r>
      <w:hyperlink r:id="rId16" w:anchor="dWorkingDraft" w:history="1">
        <w:r>
          <w:rPr>
            <w:rStyle w:val="Internetlink"/>
          </w:rPr>
          <w:t>Working Draft</w:t>
        </w:r>
      </w:hyperlink>
      <w:r>
        <w:t xml:space="preserve"> (WD) has been produced by one or more TC Members; it has not yet been voted on by the TC or </w:t>
      </w:r>
      <w:hyperlink r:id="rId17" w:anchor="committeeDraft" w:history="1">
        <w:r>
          <w:rPr>
            <w:rStyle w:val="Internetlink"/>
          </w:rPr>
          <w:t>approved</w:t>
        </w:r>
      </w:hyperlink>
      <w:r>
        <w:t xml:space="preserve"> as a Committee Draft (Committee Specification Draft or a Committee Note Draft). The OASIS document </w:t>
      </w:r>
      <w:hyperlink r:id="rId18" w:anchor="standApprovProcess" w:history="1">
        <w:r>
          <w:rPr>
            <w:rStyle w:val="Internetlink"/>
          </w:rPr>
          <w:t>Approval Process</w:t>
        </w:r>
      </w:hyperlink>
      <w:r>
        <w:t xml:space="preserve"> begins officially with a TC vote to approve a WD as a Committee Draft. A TC may approve a Working Draft, revise it, and re-approve it any number of times as a Committee Draft.</w:t>
      </w:r>
    </w:p>
    <w:p w:rsidR="00323F52" w:rsidRDefault="00323F52">
      <w:pPr>
        <w:pStyle w:val="Abstract"/>
      </w:pPr>
    </w:p>
    <w:p w:rsidR="00323F52" w:rsidRDefault="00766D7F">
      <w:pPr>
        <w:pStyle w:val="Titlepageinfo"/>
      </w:pPr>
      <w:r>
        <w:t>Citation format:</w:t>
      </w:r>
    </w:p>
    <w:p w:rsidR="00323F52" w:rsidRDefault="00766D7F">
      <w:pPr>
        <w:pStyle w:val="Titlepageinfodescription"/>
      </w:pPr>
      <w:r>
        <w:t>When referencing this Work Product the following citation format should be used:</w:t>
      </w:r>
    </w:p>
    <w:p w:rsidR="00323F52" w:rsidRDefault="00766D7F">
      <w:pPr>
        <w:pStyle w:val="Titlepageinfodescription"/>
      </w:pPr>
      <w:r>
        <w:rPr>
          <w:rStyle w:val="Refterm0"/>
        </w:rPr>
        <w:t>[EDXL-TEP-v1.0]</w:t>
      </w:r>
    </w:p>
    <w:p w:rsidR="00323F52" w:rsidRDefault="00766D7F">
      <w:pPr>
        <w:pStyle w:val="Titlepageinfodescription"/>
      </w:pPr>
      <w:r>
        <w:rPr>
          <w:i/>
        </w:rPr>
        <w:t>Emergency Data Exchange Language (EDXL) Tracking of Emergency Patients Version 1.0</w:t>
      </w:r>
      <w:r>
        <w:t>.</w:t>
      </w:r>
    </w:p>
    <w:p w:rsidR="00323F52" w:rsidRDefault="00766D7F">
      <w:pPr>
        <w:pStyle w:val="Titlepageinfodescription"/>
      </w:pPr>
      <w:r>
        <w:t>14 June 2012. OASIS Working Draft 01.</w:t>
      </w:r>
    </w:p>
    <w:p w:rsidR="00323F52" w:rsidRDefault="00323F52">
      <w:pPr>
        <w:pStyle w:val="Abstract"/>
      </w:pPr>
    </w:p>
    <w:p w:rsidR="00323F52" w:rsidRDefault="00766D7F">
      <w:pPr>
        <w:pStyle w:val="Title"/>
      </w:pPr>
      <w:r>
        <w:rPr>
          <w:sz w:val="36"/>
          <w:szCs w:val="36"/>
        </w:rPr>
        <w:t>Notices</w:t>
      </w:r>
    </w:p>
    <w:p w:rsidR="00323F52" w:rsidRDefault="00766D7F">
      <w:pPr>
        <w:pStyle w:val="Textbody"/>
      </w:pPr>
      <w:r>
        <w:t>Copyright © OASIS Open 2012. All Rights Reserved.</w:t>
      </w:r>
    </w:p>
    <w:p w:rsidR="00323F52" w:rsidRDefault="00766D7F">
      <w:pPr>
        <w:pStyle w:val="Textbody"/>
      </w:pPr>
      <w:r>
        <w:t xml:space="preserve">All capitalized terms in the following text have the meanings assigned to them in the OASIS Intellectual Property Rights Policy (the "OASIS IPR Policy"). The full </w:t>
      </w:r>
      <w:hyperlink r:id="rId19" w:history="1">
        <w:r>
          <w:rPr>
            <w:rStyle w:val="Internetlink"/>
          </w:rPr>
          <w:t>Policy</w:t>
        </w:r>
      </w:hyperlink>
      <w:r>
        <w:t xml:space="preserve"> may be found at the OASIS website.</w:t>
      </w:r>
    </w:p>
    <w:p w:rsidR="00323F52" w:rsidRDefault="00766D7F">
      <w:pPr>
        <w:pStyle w:val="Textbody"/>
      </w:pPr>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323F52" w:rsidRDefault="00766D7F">
      <w:pPr>
        <w:pStyle w:val="Textbody"/>
      </w:pPr>
      <w:r>
        <w:t>The limited permissions granted above are perpetual and will not be revoked by OASIS or its successors or assigns.</w:t>
      </w:r>
    </w:p>
    <w:p w:rsidR="00323F52" w:rsidRDefault="00766D7F">
      <w:pPr>
        <w:pStyle w:val="Textbody"/>
      </w:pPr>
      <w:r>
        <w:t>This document and the information contained herein is provided on an "AS IS" basis and OASIS DI</w:t>
      </w:r>
      <w:r>
        <w:t>S</w:t>
      </w:r>
      <w:r>
        <w:t>CLAIMS ALL WARRANTIES, EXPRESS OR IMPLIED, INCLUDING BUT NOT LIMITED TO ANY WA</w:t>
      </w:r>
      <w:r>
        <w:t>R</w:t>
      </w:r>
      <w:r>
        <w:t>RANTY THAT THE USE OF THE INFORMATION HEREIN WILL NOT INFRINGE ANY OWNERSHIP RIGHTS OR ANY IMPLIED WARRANTIES OF MERCHANTABILITY OR FITNESS FOR A PARTICULAR PURPOSE.</w:t>
      </w:r>
    </w:p>
    <w:p w:rsidR="00323F52" w:rsidRDefault="00323F52">
      <w:pPr>
        <w:pStyle w:val="Standard"/>
      </w:pPr>
    </w:p>
    <w:p w:rsidR="00323F52" w:rsidRDefault="00766D7F">
      <w:pPr>
        <w:pStyle w:val="Notices"/>
      </w:pPr>
      <w:r>
        <w:t>Table of Contents</w:t>
      </w:r>
    </w:p>
    <w:p w:rsidR="00323F52" w:rsidRDefault="00766D7F">
      <w:pPr>
        <w:pStyle w:val="TOC1"/>
        <w:tabs>
          <w:tab w:val="right" w:leader="dot" w:pos="9360"/>
        </w:tabs>
      </w:pPr>
      <w:r>
        <w:rPr>
          <w:b/>
          <w:bCs/>
          <w:color w:val="3B006F"/>
          <w:kern w:val="3"/>
          <w:sz w:val="36"/>
          <w:szCs w:val="36"/>
        </w:rPr>
        <w:fldChar w:fldCharType="begin"/>
      </w:r>
      <w:r>
        <w:instrText xml:space="preserve"> TOC \o "1-4" \h </w:instrText>
      </w:r>
      <w:r>
        <w:rPr>
          <w:b/>
          <w:bCs/>
          <w:color w:val="3B006F"/>
          <w:kern w:val="3"/>
          <w:sz w:val="36"/>
          <w:szCs w:val="36"/>
        </w:rPr>
        <w:fldChar w:fldCharType="separate"/>
      </w:r>
      <w:r>
        <w:t xml:space="preserve">1  </w:t>
      </w:r>
      <w:hyperlink w:anchor="__RefHeading__1663_2066116382" w:history="1">
        <w:r>
          <w:t>Introduction</w:t>
        </w:r>
      </w:hyperlink>
      <w:r>
        <w:tab/>
        <w:t>1</w:t>
      </w:r>
    </w:p>
    <w:p w:rsidR="00323F52" w:rsidRDefault="00766D7F">
      <w:pPr>
        <w:pStyle w:val="TOC2"/>
        <w:tabs>
          <w:tab w:val="right" w:leader="dot" w:pos="9360"/>
        </w:tabs>
      </w:pPr>
      <w:r>
        <w:t xml:space="preserve">1.1  </w:t>
      </w:r>
      <w:hyperlink w:anchor="__RefHeading__1370_291491422" w:history="1">
        <w:r>
          <w:t>Purpose</w:t>
        </w:r>
      </w:hyperlink>
      <w:r>
        <w:tab/>
        <w:t>1</w:t>
      </w:r>
    </w:p>
    <w:p w:rsidR="00323F52" w:rsidRDefault="00766D7F">
      <w:pPr>
        <w:pStyle w:val="TOC2"/>
        <w:tabs>
          <w:tab w:val="right" w:leader="dot" w:pos="9360"/>
        </w:tabs>
      </w:pPr>
      <w:r>
        <w:t xml:space="preserve">1.2  </w:t>
      </w:r>
      <w:hyperlink w:anchor="__RefHeading__1372_291491422" w:history="1">
        <w:r>
          <w:t>History</w:t>
        </w:r>
      </w:hyperlink>
      <w:r>
        <w:tab/>
        <w:t>1</w:t>
      </w:r>
    </w:p>
    <w:p w:rsidR="00323F52" w:rsidRDefault="00766D7F">
      <w:pPr>
        <w:pStyle w:val="TOC2"/>
        <w:tabs>
          <w:tab w:val="right" w:leader="dot" w:pos="9360"/>
        </w:tabs>
      </w:pPr>
      <w:r>
        <w:t xml:space="preserve">1.3  </w:t>
      </w:r>
      <w:hyperlink w:anchor="__RefHeading__1374_291491422" w:history="1">
        <w:r>
          <w:t>Structure of the EDXL Tracking of Emergency Patients Specification</w:t>
        </w:r>
      </w:hyperlink>
      <w:r>
        <w:tab/>
        <w:t>1</w:t>
      </w:r>
    </w:p>
    <w:p w:rsidR="00323F52" w:rsidRDefault="00766D7F">
      <w:pPr>
        <w:pStyle w:val="TOC3"/>
        <w:tabs>
          <w:tab w:val="right" w:leader="dot" w:pos="9360"/>
        </w:tabs>
      </w:pPr>
      <w:r>
        <w:t xml:space="preserve">1.3.1  </w:t>
      </w:r>
      <w:hyperlink w:anchor="__RefHeading__1376_291491422" w:history="1">
        <w:r>
          <w:t>…</w:t>
        </w:r>
      </w:hyperlink>
      <w:r>
        <w:tab/>
        <w:t>1</w:t>
      </w:r>
    </w:p>
    <w:p w:rsidR="00323F52" w:rsidRDefault="00766D7F">
      <w:pPr>
        <w:pStyle w:val="TOC3"/>
        <w:tabs>
          <w:tab w:val="right" w:leader="dot" w:pos="9360"/>
        </w:tabs>
      </w:pPr>
      <w:r>
        <w:t xml:space="preserve">1.3.2  </w:t>
      </w:r>
      <w:hyperlink w:anchor="__RefHeading__1378_291491422" w:history="1">
        <w:r>
          <w:t>Common Types</w:t>
        </w:r>
      </w:hyperlink>
      <w:r>
        <w:tab/>
        <w:t>1</w:t>
      </w:r>
    </w:p>
    <w:p w:rsidR="00323F52" w:rsidRDefault="00766D7F">
      <w:pPr>
        <w:pStyle w:val="TOC2"/>
        <w:tabs>
          <w:tab w:val="right" w:leader="dot" w:pos="9360"/>
        </w:tabs>
      </w:pPr>
      <w:r>
        <w:t xml:space="preserve">1.4  </w:t>
      </w:r>
      <w:hyperlink w:anchor="__RefHeading__1665_2066116382" w:history="1">
        <w:r>
          <w:t>Terminology</w:t>
        </w:r>
      </w:hyperlink>
      <w:r>
        <w:tab/>
        <w:t>1</w:t>
      </w:r>
    </w:p>
    <w:p w:rsidR="00323F52" w:rsidRDefault="00766D7F">
      <w:pPr>
        <w:pStyle w:val="TOC2"/>
        <w:tabs>
          <w:tab w:val="right" w:leader="dot" w:pos="9360"/>
        </w:tabs>
      </w:pPr>
      <w:r>
        <w:t xml:space="preserve">1.5  </w:t>
      </w:r>
      <w:hyperlink w:anchor="__RefHeading__1667_2066116382" w:history="1">
        <w:r>
          <w:t>Normative References</w:t>
        </w:r>
      </w:hyperlink>
      <w:r>
        <w:tab/>
        <w:t>1</w:t>
      </w:r>
    </w:p>
    <w:p w:rsidR="00323F52" w:rsidRDefault="00766D7F">
      <w:pPr>
        <w:pStyle w:val="TOC2"/>
        <w:tabs>
          <w:tab w:val="right" w:leader="dot" w:pos="9360"/>
        </w:tabs>
      </w:pPr>
      <w:r>
        <w:t xml:space="preserve">1.6  </w:t>
      </w:r>
      <w:hyperlink w:anchor="__RefHeading__1669_2066116382" w:history="1">
        <w:r>
          <w:t>Non-Normative References</w:t>
        </w:r>
      </w:hyperlink>
      <w:r>
        <w:tab/>
        <w:t>1</w:t>
      </w:r>
    </w:p>
    <w:p w:rsidR="00323F52" w:rsidRDefault="00766D7F">
      <w:pPr>
        <w:pStyle w:val="TOC1"/>
        <w:tabs>
          <w:tab w:val="right" w:leader="dot" w:pos="9360"/>
        </w:tabs>
      </w:pPr>
      <w:r>
        <w:t xml:space="preserve">2  </w:t>
      </w:r>
      <w:hyperlink w:anchor="__RefHeading__1380_291491422" w:history="1">
        <w:r>
          <w:t>Design Principles &amp; Concepts (non-normative)</w:t>
        </w:r>
      </w:hyperlink>
      <w:r>
        <w:tab/>
        <w:t>1</w:t>
      </w:r>
    </w:p>
    <w:p w:rsidR="00323F52" w:rsidRDefault="00766D7F">
      <w:pPr>
        <w:pStyle w:val="TOC2"/>
        <w:tabs>
          <w:tab w:val="right" w:leader="dot" w:pos="9360"/>
        </w:tabs>
      </w:pPr>
      <w:r>
        <w:t xml:space="preserve">2.1  </w:t>
      </w:r>
      <w:hyperlink w:anchor="__RefHeading__1382_291491422" w:history="1">
        <w:r>
          <w:t>Design Philosophy</w:t>
        </w:r>
      </w:hyperlink>
      <w:r>
        <w:tab/>
        <w:t>1</w:t>
      </w:r>
    </w:p>
    <w:p w:rsidR="00323F52" w:rsidRDefault="00766D7F">
      <w:pPr>
        <w:pStyle w:val="TOC2"/>
        <w:tabs>
          <w:tab w:val="right" w:leader="dot" w:pos="9360"/>
        </w:tabs>
      </w:pPr>
      <w:r>
        <w:t xml:space="preserve">2.2  </w:t>
      </w:r>
      <w:hyperlink w:anchor="__RefHeading__1384_291491422" w:history="1">
        <w:r>
          <w:t>Requirements for Design</w:t>
        </w:r>
      </w:hyperlink>
      <w:r>
        <w:tab/>
        <w:t>1</w:t>
      </w:r>
    </w:p>
    <w:p w:rsidR="00323F52" w:rsidRDefault="00766D7F">
      <w:pPr>
        <w:pStyle w:val="TOC2"/>
        <w:tabs>
          <w:tab w:val="right" w:leader="dot" w:pos="9360"/>
        </w:tabs>
      </w:pPr>
      <w:r>
        <w:t xml:space="preserve">2.3  </w:t>
      </w:r>
      <w:hyperlink w:anchor="__RefHeading__1386_291491422" w:history="1">
        <w:r>
          <w:t>Example Usage Scenarios</w:t>
        </w:r>
      </w:hyperlink>
      <w:r>
        <w:tab/>
        <w:t>1</w:t>
      </w:r>
    </w:p>
    <w:p w:rsidR="00323F52" w:rsidRDefault="00766D7F">
      <w:pPr>
        <w:pStyle w:val="TOC1"/>
        <w:tabs>
          <w:tab w:val="right" w:leader="dot" w:pos="9360"/>
        </w:tabs>
      </w:pPr>
      <w:r>
        <w:t xml:space="preserve">3  </w:t>
      </w:r>
      <w:hyperlink w:anchor="__RefHeading__1388_291491422" w:history="1">
        <w:r>
          <w:t>EDXL Tracking of Emergency Patients</w:t>
        </w:r>
        <w:r>
          <w:br/>
          <w:t>(normative unless stated otherwise)</w:t>
        </w:r>
      </w:hyperlink>
      <w:r>
        <w:tab/>
        <w:t>1</w:t>
      </w:r>
    </w:p>
    <w:p w:rsidR="00323F52" w:rsidRDefault="00766D7F">
      <w:pPr>
        <w:pStyle w:val="TOC2"/>
        <w:tabs>
          <w:tab w:val="right" w:leader="dot" w:pos="9360"/>
        </w:tabs>
      </w:pPr>
      <w:r>
        <w:t xml:space="preserve">3.1  </w:t>
      </w:r>
      <w:hyperlink w:anchor="__RefHeading__1390_291491422" w:history="1">
        <w:r>
          <w:t>Element Reference Model (non-normative)</w:t>
        </w:r>
      </w:hyperlink>
      <w:r>
        <w:tab/>
        <w:t>1</w:t>
      </w:r>
    </w:p>
    <w:p w:rsidR="00323F52" w:rsidRDefault="00766D7F">
      <w:pPr>
        <w:pStyle w:val="TOC2"/>
        <w:tabs>
          <w:tab w:val="right" w:leader="dot" w:pos="9360"/>
        </w:tabs>
      </w:pPr>
      <w:r>
        <w:t xml:space="preserve">3.2  </w:t>
      </w:r>
      <w:hyperlink w:anchor="__RefHeading__1392_291491422" w:history="1">
        <w:r>
          <w:t>Distribution of EDXL-TEP</w:t>
        </w:r>
      </w:hyperlink>
      <w:r>
        <w:tab/>
        <w:t>1</w:t>
      </w:r>
    </w:p>
    <w:p w:rsidR="00323F52" w:rsidRDefault="00766D7F">
      <w:pPr>
        <w:pStyle w:val="TOC3"/>
        <w:tabs>
          <w:tab w:val="right" w:leader="dot" w:pos="9360"/>
        </w:tabs>
      </w:pPr>
      <w:r>
        <w:t xml:space="preserve">3.2.1  </w:t>
      </w:r>
      <w:hyperlink w:anchor="__RefHeading__1394_291491422" w:history="1">
        <w:r>
          <w:t>EDXL Distribution Element (EDXL-DE)</w:t>
        </w:r>
      </w:hyperlink>
      <w:r>
        <w:tab/>
        <w:t>1</w:t>
      </w:r>
    </w:p>
    <w:p w:rsidR="00323F52" w:rsidRDefault="00766D7F">
      <w:pPr>
        <w:pStyle w:val="Contents4"/>
        <w:tabs>
          <w:tab w:val="clear" w:pos="9972"/>
          <w:tab w:val="right" w:leader="dot" w:pos="9360"/>
        </w:tabs>
      </w:pPr>
      <w:r>
        <w:t xml:space="preserve">3.2.1.1  </w:t>
      </w:r>
      <w:hyperlink w:anchor="__RefHeading__1396_291491422" w:history="1">
        <w:r>
          <w:t>Identifying MessageType</w:t>
        </w:r>
      </w:hyperlink>
      <w:r>
        <w:tab/>
        <w:t>1</w:t>
      </w:r>
    </w:p>
    <w:p w:rsidR="00323F52" w:rsidRDefault="00766D7F">
      <w:pPr>
        <w:pStyle w:val="Contents4"/>
        <w:tabs>
          <w:tab w:val="clear" w:pos="9972"/>
          <w:tab w:val="right" w:leader="dot" w:pos="9360"/>
        </w:tabs>
      </w:pPr>
      <w:r>
        <w:t xml:space="preserve">3.2.1.2  </w:t>
      </w:r>
      <w:hyperlink w:anchor="__RefHeading__1398_291491422" w:history="1">
        <w:r>
          <w:t>Identifying Message Sender</w:t>
        </w:r>
      </w:hyperlink>
      <w:r>
        <w:tab/>
        <w:t>1</w:t>
      </w:r>
    </w:p>
    <w:p w:rsidR="00323F52" w:rsidRDefault="00766D7F">
      <w:pPr>
        <w:pStyle w:val="Contents4"/>
        <w:tabs>
          <w:tab w:val="clear" w:pos="9972"/>
          <w:tab w:val="right" w:leader="dot" w:pos="9360"/>
        </w:tabs>
      </w:pPr>
      <w:r>
        <w:t xml:space="preserve">3.2.1.3  </w:t>
      </w:r>
      <w:hyperlink w:anchor="__RefHeading__1400_291491422" w:history="1">
        <w:r>
          <w:t>DateTime Message Sent</w:t>
        </w:r>
      </w:hyperlink>
      <w:r>
        <w:tab/>
        <w:t>1</w:t>
      </w:r>
    </w:p>
    <w:p w:rsidR="00323F52" w:rsidRDefault="00766D7F">
      <w:pPr>
        <w:pStyle w:val="TOC2"/>
        <w:tabs>
          <w:tab w:val="right" w:leader="dot" w:pos="9360"/>
        </w:tabs>
      </w:pPr>
      <w:r>
        <w:t xml:space="preserve">3.3  </w:t>
      </w:r>
      <w:hyperlink w:anchor="__RefHeading__1402_291491422" w:history="1">
        <w:r>
          <w:t>TEP Elements</w:t>
        </w:r>
      </w:hyperlink>
      <w:r>
        <w:tab/>
        <w:t>1</w:t>
      </w:r>
    </w:p>
    <w:p w:rsidR="00323F52" w:rsidRDefault="00766D7F">
      <w:pPr>
        <w:pStyle w:val="TOC1"/>
        <w:tabs>
          <w:tab w:val="right" w:leader="dot" w:pos="9360"/>
        </w:tabs>
      </w:pPr>
      <w:r>
        <w:t xml:space="preserve">4  </w:t>
      </w:r>
      <w:hyperlink w:anchor="__RefHeading__1404_291491422" w:history="1">
        <w:r>
          <w:t>Data Dictionary (normative)</w:t>
        </w:r>
      </w:hyperlink>
      <w:r>
        <w:tab/>
        <w:t>1</w:t>
      </w:r>
    </w:p>
    <w:p w:rsidR="00323F52" w:rsidRDefault="00766D7F">
      <w:pPr>
        <w:pStyle w:val="TOC2"/>
        <w:tabs>
          <w:tab w:val="right" w:leader="dot" w:pos="9360"/>
        </w:tabs>
      </w:pPr>
      <w:r>
        <w:t xml:space="preserve">4.1  </w:t>
      </w:r>
      <w:hyperlink w:anchor="__RefHeading__1406_291491422" w:history="1">
        <w:r>
          <w:t>…</w:t>
        </w:r>
      </w:hyperlink>
      <w:r>
        <w:tab/>
        <w:t>1</w:t>
      </w:r>
    </w:p>
    <w:p w:rsidR="00323F52" w:rsidRDefault="00766D7F">
      <w:pPr>
        <w:pStyle w:val="TOC2"/>
        <w:tabs>
          <w:tab w:val="right" w:leader="dot" w:pos="9360"/>
        </w:tabs>
      </w:pPr>
      <w:r>
        <w:t xml:space="preserve">4.2  </w:t>
      </w:r>
      <w:hyperlink w:anchor="__RefHeading__1408_291491422" w:history="1">
        <w:r>
          <w:t>Glossary / List of Acronyms</w:t>
        </w:r>
      </w:hyperlink>
      <w:r>
        <w:tab/>
        <w:t>1</w:t>
      </w:r>
    </w:p>
    <w:p w:rsidR="00323F52" w:rsidRDefault="00766D7F">
      <w:pPr>
        <w:pStyle w:val="TOC1"/>
        <w:tabs>
          <w:tab w:val="right" w:leader="dot" w:pos="9360"/>
        </w:tabs>
      </w:pPr>
      <w:r>
        <w:t xml:space="preserve">5  </w:t>
      </w:r>
      <w:hyperlink w:anchor="__RefHeading__1475_174928413" w:history="1">
        <w:r>
          <w:t># Conformance</w:t>
        </w:r>
      </w:hyperlink>
      <w:r>
        <w:tab/>
        <w:t>2</w:t>
      </w:r>
    </w:p>
    <w:p w:rsidR="00323F52" w:rsidRDefault="00766D7F">
      <w:pPr>
        <w:pStyle w:val="TOC1"/>
        <w:tabs>
          <w:tab w:val="right" w:leader="dot" w:pos="9360"/>
        </w:tabs>
      </w:pPr>
      <w:r>
        <w:t xml:space="preserve">Appendix A    </w:t>
      </w:r>
      <w:hyperlink w:anchor="__RefHeading__1477_174928413" w:history="1">
        <w:r>
          <w:t>Acknowledgments</w:t>
        </w:r>
      </w:hyperlink>
      <w:r>
        <w:tab/>
        <w:t>2</w:t>
      </w:r>
    </w:p>
    <w:p w:rsidR="00323F52" w:rsidRDefault="00766D7F">
      <w:pPr>
        <w:pStyle w:val="TOC1"/>
        <w:tabs>
          <w:tab w:val="right" w:leader="dot" w:pos="9360"/>
        </w:tabs>
      </w:pPr>
      <w:r>
        <w:t xml:space="preserve">Appendix B    </w:t>
      </w:r>
      <w:hyperlink w:anchor="__RefHeading__1479_174928413" w:history="1">
        <w:r>
          <w:t>Non-Normative Text</w:t>
        </w:r>
      </w:hyperlink>
      <w:r>
        <w:tab/>
        <w:t>2</w:t>
      </w:r>
    </w:p>
    <w:p w:rsidR="00323F52" w:rsidRDefault="00766D7F">
      <w:pPr>
        <w:pStyle w:val="TOC2"/>
        <w:tabs>
          <w:tab w:val="right" w:leader="dot" w:pos="9360"/>
        </w:tabs>
      </w:pPr>
      <w:r>
        <w:t xml:space="preserve">Appendix B.1    </w:t>
      </w:r>
      <w:hyperlink w:anchor="__RefHeading__32325_1258220386" w:history="1">
        <w:r>
          <w:t>subsidiary appendix</w:t>
        </w:r>
      </w:hyperlink>
      <w:r>
        <w:tab/>
        <w:t>2</w:t>
      </w:r>
    </w:p>
    <w:p w:rsidR="00323F52" w:rsidRDefault="00766D7F">
      <w:pPr>
        <w:pStyle w:val="TOC3"/>
        <w:tabs>
          <w:tab w:val="right" w:leader="dot" w:pos="9360"/>
        </w:tabs>
      </w:pPr>
      <w:r>
        <w:t xml:space="preserve">Appendix B.1.1    </w:t>
      </w:r>
      <w:hyperlink w:anchor="__RefHeading__30942_1258220386" w:history="1">
        <w:r>
          <w:t>Sub-subsidiary appendix</w:t>
        </w:r>
      </w:hyperlink>
      <w:r>
        <w:tab/>
        <w:t>2</w:t>
      </w:r>
    </w:p>
    <w:p w:rsidR="00323F52" w:rsidRDefault="00766D7F">
      <w:pPr>
        <w:pStyle w:val="TOC1"/>
        <w:tabs>
          <w:tab w:val="right" w:leader="dot" w:pos="9360"/>
        </w:tabs>
      </w:pPr>
      <w:r>
        <w:t xml:space="preserve">Appendix C    </w:t>
      </w:r>
      <w:hyperlink w:anchor="__RefHeading__1481_174928413" w:history="1">
        <w:r>
          <w:t>Revision History</w:t>
        </w:r>
      </w:hyperlink>
      <w:r>
        <w:tab/>
        <w:t>2</w:t>
      </w:r>
    </w:p>
    <w:p w:rsidR="00323F52" w:rsidRDefault="00766D7F">
      <w:pPr>
        <w:pStyle w:val="TextBody0"/>
      </w:pPr>
      <w:r>
        <w:fldChar w:fldCharType="end"/>
      </w:r>
    </w:p>
    <w:p w:rsidR="00323F52" w:rsidRDefault="00323F52">
      <w:pPr>
        <w:pStyle w:val="TextBody0"/>
        <w:sectPr w:rsidR="00323F52">
          <w:footerReference w:type="default" r:id="rId20"/>
          <w:pgSz w:w="12240" w:h="15840"/>
          <w:pgMar w:top="1066" w:right="1440" w:bottom="720" w:left="1440" w:header="720" w:footer="720" w:gutter="0"/>
          <w:cols w:space="720"/>
        </w:sectPr>
      </w:pPr>
    </w:p>
    <w:p w:rsidR="00323F52" w:rsidRDefault="00766D7F">
      <w:pPr>
        <w:pStyle w:val="Heading1"/>
      </w:pPr>
      <w:bookmarkStart w:id="0" w:name="__RefHeading__1663_2066116382"/>
      <w:r>
        <w:t>Introduction</w:t>
      </w:r>
      <w:bookmarkEnd w:id="0"/>
    </w:p>
    <w:p w:rsidR="00323F52" w:rsidRDefault="00766D7F">
      <w:r>
        <w:t>All text is normative unless otherwise labeled.</w:t>
      </w:r>
    </w:p>
    <w:p w:rsidR="00323F52" w:rsidRDefault="00766D7F">
      <w:pPr>
        <w:pStyle w:val="Heading2"/>
      </w:pPr>
      <w:bookmarkStart w:id="1" w:name="__RefHeading__1370_291491422"/>
      <w:r>
        <w:t>Purpose</w:t>
      </w:r>
      <w:bookmarkEnd w:id="1"/>
    </w:p>
    <w:p w:rsidR="00323F52" w:rsidRDefault="00766D7F">
      <w:r>
        <w:t>The ongoing goal of the Emergency Data eXchange Language (EDXL) project is to facilitate emergency info</w:t>
      </w:r>
      <w:r>
        <w:t>r</w:t>
      </w:r>
      <w:r>
        <w:t>mation sharing and data exchange across the local, state, tribal, national and non-governmental organizations of di</w:t>
      </w:r>
      <w:r>
        <w:t>f</w:t>
      </w:r>
      <w:r>
        <w:t>ferent professions that provide emergency response and management services. EDXL accomplishes this goal by focusing on the standardization of specific messages (messaging interfaces) to facilitate emergency communication and coordination particularly when more than one profession or governmental jurisdiction is involved.</w:t>
      </w:r>
    </w:p>
    <w:p w:rsidR="00323F52" w:rsidRDefault="00766D7F">
      <w:pPr>
        <w:pStyle w:val="Textbody"/>
        <w:rPr>
          <w:rFonts w:ascii="Arial, sans-serif" w:hAnsi="Arial, sans-serif"/>
        </w:rPr>
      </w:pPr>
      <w:r>
        <w:rPr>
          <w:rFonts w:ascii="Arial, sans-serif" w:hAnsi="Arial, sans-serif"/>
        </w:rPr>
        <w:t>The current roster of EDXL Standards includes:</w:t>
      </w:r>
    </w:p>
    <w:p w:rsidR="00323F52" w:rsidRDefault="00766D7F">
      <w:pPr>
        <w:pStyle w:val="Textbody"/>
      </w:pPr>
      <w:r>
        <w:rPr>
          <w:rFonts w:ascii="Wingdings" w:hAnsi="Wingdings"/>
        </w:rPr>
        <w:t></w:t>
      </w:r>
      <w:r>
        <w:rPr>
          <w:rFonts w:ascii="Wingdings" w:hAnsi="Wingdings"/>
        </w:rPr>
        <w:t></w:t>
      </w:r>
      <w:r>
        <w:rPr>
          <w:rFonts w:ascii="Wingdings" w:hAnsi="Wingdings"/>
        </w:rPr>
        <w:t></w:t>
      </w:r>
      <w:r>
        <w:t>The Common Alerting Protocol v1.2 specification (EDXL-CAP), with various dedicated profiles</w:t>
      </w:r>
    </w:p>
    <w:p w:rsidR="00323F52" w:rsidRDefault="00766D7F">
      <w:pPr>
        <w:pStyle w:val="Textbody"/>
      </w:pPr>
      <w:r>
        <w:rPr>
          <w:rFonts w:ascii="Wingdings" w:hAnsi="Wingdings"/>
        </w:rPr>
        <w:t></w:t>
      </w:r>
      <w:r>
        <w:rPr>
          <w:rFonts w:ascii="Wingdings" w:hAnsi="Wingdings"/>
        </w:rPr>
        <w:t></w:t>
      </w:r>
      <w:r>
        <w:rPr>
          <w:rFonts w:ascii="Wingdings" w:hAnsi="Wingdings"/>
        </w:rPr>
        <w:t></w:t>
      </w:r>
      <w:r>
        <w:t>The Distribution Element Specification v2.0 (EDXL-DE)</w:t>
      </w:r>
    </w:p>
    <w:p w:rsidR="00323F52" w:rsidRDefault="00766D7F">
      <w:pPr>
        <w:pStyle w:val="Textbody"/>
      </w:pPr>
      <w:r>
        <w:rPr>
          <w:rFonts w:ascii="Wingdings" w:hAnsi="Wingdings"/>
        </w:rPr>
        <w:t></w:t>
      </w:r>
      <w:r>
        <w:rPr>
          <w:rFonts w:ascii="Wingdings" w:hAnsi="Wingdings"/>
        </w:rPr>
        <w:t></w:t>
      </w:r>
      <w:r>
        <w:rPr>
          <w:rFonts w:ascii="Wingdings" w:hAnsi="Wingdings"/>
        </w:rPr>
        <w:t></w:t>
      </w:r>
      <w:r>
        <w:t>The Hospital AVailability Exchange specification v1.0 (EDXL-HAVE)</w:t>
      </w:r>
    </w:p>
    <w:p w:rsidR="00323F52" w:rsidRDefault="00766D7F">
      <w:pPr>
        <w:pStyle w:val="Textbody"/>
      </w:pPr>
      <w:r>
        <w:rPr>
          <w:rFonts w:ascii="Wingdings" w:hAnsi="Wingdings"/>
        </w:rPr>
        <w:t></w:t>
      </w:r>
      <w:r>
        <w:rPr>
          <w:rFonts w:ascii="Wingdings" w:hAnsi="Wingdings"/>
        </w:rPr>
        <w:t></w:t>
      </w:r>
      <w:r>
        <w:rPr>
          <w:rFonts w:ascii="Wingdings" w:hAnsi="Wingdings"/>
        </w:rPr>
        <w:t></w:t>
      </w:r>
      <w:r>
        <w:t>The Resource Messaging specification v1.0 (EDXL-RM)</w:t>
      </w:r>
    </w:p>
    <w:p w:rsidR="00323F52" w:rsidRDefault="00766D7F">
      <w:pPr>
        <w:pStyle w:val="Textbody"/>
      </w:pPr>
      <w:r>
        <w:rPr>
          <w:rFonts w:ascii="Wingdings" w:hAnsi="Wingdings"/>
        </w:rPr>
        <w:t></w:t>
      </w:r>
      <w:r>
        <w:rPr>
          <w:rFonts w:ascii="Wingdings" w:hAnsi="Wingdings"/>
        </w:rPr>
        <w:t></w:t>
      </w:r>
      <w:r>
        <w:rPr>
          <w:rFonts w:ascii="Wingdings" w:hAnsi="Wingdings"/>
        </w:rPr>
        <w:t></w:t>
      </w:r>
      <w:r>
        <w:t>The Situation Reporting specification v1.0 (EDXL-SitRep)</w:t>
      </w:r>
    </w:p>
    <w:p w:rsidR="00323F52" w:rsidRDefault="00766D7F">
      <w:pPr>
        <w:rPr>
          <w:rFonts w:eastAsia="Arial, sans-serif"/>
          <w:color w:val="000000"/>
        </w:rPr>
      </w:pPr>
      <w:r>
        <w:rPr>
          <w:rFonts w:eastAsia="Arial, sans-serif"/>
          <w:color w:val="000000"/>
        </w:rPr>
        <w:t>The primary purpose of EDXL-TEP is an XML messaging standard for exchange of emergency client (patient) and tracking information during patient encounter through admission or release. TEP supports patient tracking across the EMS emergency medical care continuum, as well as hospital evacuations and patient transfers, providing real-time information to responders, Emergency Management, coordinating organizations and care facilities in the chain of care and transport.</w:t>
      </w:r>
    </w:p>
    <w:p w:rsidR="00323F52" w:rsidRDefault="00766D7F">
      <w:r>
        <w:rPr>
          <w:rFonts w:eastAsia="Arial, sans-serif"/>
          <w:color w:val="000000"/>
        </w:rPr>
        <w:t xml:space="preserve">The TEP purpose is intended as part of a larger effort </w:t>
      </w:r>
      <w:r>
        <w:rPr>
          <w:rFonts w:eastAsia="Arial, sans-serif"/>
          <w:b/>
          <w:bCs/>
          <w:color w:val="000000"/>
        </w:rPr>
        <w:t>for tracking everyone affected by and requiring emergency service or assistance as a result of a mass casualty incident</w:t>
      </w:r>
      <w:r>
        <w:rPr>
          <w:rFonts w:eastAsia="Arial, sans-serif"/>
          <w:color w:val="000000"/>
        </w:rPr>
        <w:t>, but is aimed at increased effectiveness of emergency medical management, patient tracking, and continued patient care capabilities during emergency care. TEP is driven by cross-profession practitioner needs (Practitioner Steering Group), and led by the National Association of State EMS Officials (NASEMSO). It supports select goals of the HHS-Agency for Health and Research Quality (AHRQ) and some gaps identified by the Health Information Technology Standards Panel (HITSP).</w:t>
      </w:r>
    </w:p>
    <w:p w:rsidR="00323F52" w:rsidRDefault="00766D7F">
      <w:pPr>
        <w:pStyle w:val="Heading2"/>
      </w:pPr>
      <w:bookmarkStart w:id="2" w:name="__RefHeading__1372_291491422"/>
      <w:r>
        <w:t>History</w:t>
      </w:r>
      <w:bookmarkEnd w:id="2"/>
    </w:p>
    <w:p w:rsidR="00323F52" w:rsidRDefault="00766D7F">
      <w:r w:rsidRPr="00B167D0">
        <w:rPr>
          <w:highlight w:val="yellow"/>
        </w:rPr>
        <w:t>TIM</w:t>
      </w:r>
    </w:p>
    <w:p w:rsidR="00323F52" w:rsidRDefault="00766D7F">
      <w:pPr>
        <w:pStyle w:val="Heading2"/>
      </w:pPr>
      <w:bookmarkStart w:id="3" w:name="__RefHeading__1374_291491422"/>
      <w:r>
        <w:t xml:space="preserve">Structure of the EDXL </w:t>
      </w:r>
      <w:r>
        <w:rPr>
          <w:sz w:val="26"/>
          <w:szCs w:val="26"/>
        </w:rPr>
        <w:t>Tracking of Emergency Patients</w:t>
      </w:r>
      <w:r>
        <w:t xml:space="preserve"> Specification</w:t>
      </w:r>
      <w:bookmarkEnd w:id="3"/>
    </w:p>
    <w:p w:rsidR="00323F52" w:rsidRDefault="00B167D0">
      <w:r w:rsidRPr="00B167D0">
        <w:rPr>
          <w:highlight w:val="yellow"/>
        </w:rPr>
        <w:t>WAIT UNTIL WHOLE DOC IS COMPLETE AND DESCRIBE HERE…)</w:t>
      </w:r>
    </w:p>
    <w:p w:rsidR="00323F52" w:rsidRDefault="00766D7F">
      <w:pPr>
        <w:pStyle w:val="Heading3"/>
      </w:pPr>
      <w:bookmarkStart w:id="4" w:name="__RefHeading__1376_291491422"/>
      <w:r>
        <w:t>…</w:t>
      </w:r>
      <w:bookmarkEnd w:id="4"/>
    </w:p>
    <w:p w:rsidR="00323F52" w:rsidRDefault="00323F52"/>
    <w:p w:rsidR="00323F52" w:rsidRDefault="00766D7F">
      <w:pPr>
        <w:pStyle w:val="Heading3"/>
      </w:pPr>
      <w:bookmarkStart w:id="5" w:name="__RefHeading__1378_291491422"/>
      <w:r>
        <w:t>Common Types</w:t>
      </w:r>
      <w:bookmarkEnd w:id="5"/>
    </w:p>
    <w:p w:rsidR="00323F52" w:rsidRDefault="00766D7F">
      <w:r>
        <w:t xml:space="preserve">Supporting Element Types borrow re-usable elements from the EDXL Common Types that apply to and support multiple areas of the TEP 1.0 messages, such as Location. For instance </w:t>
      </w:r>
      <w:proofErr w:type="spellStart"/>
      <w:r>
        <w:t>incidentLocation</w:t>
      </w:r>
      <w:proofErr w:type="spellEnd"/>
      <w:r>
        <w:t xml:space="preserve"> relies on the EDXL-CIQ profile for geopolitical info and on the EDXL-GSF profile for geographical information.</w:t>
      </w:r>
    </w:p>
    <w:p w:rsidR="00323F52" w:rsidRDefault="00766D7F">
      <w:r>
        <w:t xml:space="preserve">The Supporting Elements Model distinguishes three groups of elements: </w:t>
      </w:r>
      <w:proofErr w:type="spellStart"/>
      <w:r>
        <w:t>CommonTypes</w:t>
      </w:r>
      <w:proofErr w:type="spellEnd"/>
      <w:r>
        <w:t xml:space="preserve"> (EDXL-CT), Contact I</w:t>
      </w:r>
      <w:r>
        <w:t>n</w:t>
      </w:r>
      <w:r>
        <w:t>formation (EDXL-CIQ) and Location Information (EDXL-GSF).</w:t>
      </w:r>
    </w:p>
    <w:p w:rsidR="00323F52" w:rsidRDefault="00766D7F">
      <w:r>
        <w:t>The following elements are used in this specification and can be found at the locations cited in the normative refe</w:t>
      </w:r>
      <w:r>
        <w:t>r</w:t>
      </w:r>
      <w:r>
        <w:t>ences in Section 1.6 below.</w:t>
      </w:r>
    </w:p>
    <w:tbl>
      <w:tblPr>
        <w:tblW w:w="10786" w:type="dxa"/>
        <w:tblInd w:w="45" w:type="dxa"/>
        <w:tblLayout w:type="fixed"/>
        <w:tblCellMar>
          <w:left w:w="10" w:type="dxa"/>
          <w:right w:w="10" w:type="dxa"/>
        </w:tblCellMar>
        <w:tblLook w:val="0000" w:firstRow="0" w:lastRow="0" w:firstColumn="0" w:lastColumn="0" w:noHBand="0" w:noVBand="0"/>
      </w:tblPr>
      <w:tblGrid>
        <w:gridCol w:w="5393"/>
        <w:gridCol w:w="5393"/>
      </w:tblGrid>
      <w:tr w:rsidR="00323F52">
        <w:trPr>
          <w:tblHeader/>
        </w:trPr>
        <w:tc>
          <w:tcPr>
            <w:tcW w:w="5393" w:type="dxa"/>
            <w:tcBorders>
              <w:top w:val="single" w:sz="2" w:space="0" w:color="000000"/>
              <w:left w:val="single" w:sz="2" w:space="0" w:color="000000"/>
              <w:bottom w:val="single" w:sz="2" w:space="0" w:color="000000"/>
            </w:tcBorders>
            <w:tcMar>
              <w:top w:w="55" w:type="dxa"/>
              <w:left w:w="55" w:type="dxa"/>
              <w:bottom w:w="55" w:type="dxa"/>
              <w:right w:w="55" w:type="dxa"/>
            </w:tcMar>
          </w:tcPr>
          <w:p w:rsidR="00323F52" w:rsidRDefault="00766D7F">
            <w:pPr>
              <w:pStyle w:val="TableHeading"/>
              <w:rPr>
                <w:rFonts w:cs="Arial, sans-serif"/>
              </w:rPr>
            </w:pPr>
            <w:r>
              <w:rPr>
                <w:rFonts w:cs="Arial, sans-serif"/>
              </w:rPr>
              <w:t>Supporting Element</w:t>
            </w:r>
          </w:p>
        </w:tc>
        <w:tc>
          <w:tcPr>
            <w:tcW w:w="53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23F52" w:rsidRDefault="00766D7F">
            <w:pPr>
              <w:pStyle w:val="TableHeading"/>
              <w:rPr>
                <w:rFonts w:cs="Arial, sans-serif"/>
              </w:rPr>
            </w:pPr>
            <w:r>
              <w:rPr>
                <w:rFonts w:cs="Arial, sans-serif"/>
              </w:rPr>
              <w:t>Defined In</w:t>
            </w:r>
          </w:p>
        </w:tc>
      </w:tr>
      <w:tr w:rsidR="00323F52">
        <w:tc>
          <w:tcPr>
            <w:tcW w:w="5393" w:type="dxa"/>
            <w:tcBorders>
              <w:left w:val="single" w:sz="2" w:space="0" w:color="000000"/>
              <w:bottom w:val="single" w:sz="2" w:space="0" w:color="000000"/>
            </w:tcBorders>
            <w:tcMar>
              <w:top w:w="55" w:type="dxa"/>
              <w:left w:w="55" w:type="dxa"/>
              <w:bottom w:w="55" w:type="dxa"/>
              <w:right w:w="55" w:type="dxa"/>
            </w:tcMar>
          </w:tcPr>
          <w:p w:rsidR="00323F52" w:rsidRDefault="00766D7F">
            <w:pPr>
              <w:pStyle w:val="TableContents"/>
              <w:rPr>
                <w:rFonts w:cs="Arial, sans-serif"/>
              </w:rPr>
            </w:pPr>
            <w:proofErr w:type="spellStart"/>
            <w:r>
              <w:rPr>
                <w:rFonts w:cs="Arial, sans-serif"/>
              </w:rPr>
              <w:t>EDXLLocationType</w:t>
            </w:r>
            <w:proofErr w:type="spellEnd"/>
          </w:p>
        </w:tc>
        <w:tc>
          <w:tcPr>
            <w:tcW w:w="5393" w:type="dxa"/>
            <w:tcBorders>
              <w:left w:val="single" w:sz="2" w:space="0" w:color="000000"/>
              <w:bottom w:val="single" w:sz="2" w:space="0" w:color="000000"/>
              <w:right w:val="single" w:sz="2" w:space="0" w:color="000000"/>
            </w:tcBorders>
            <w:tcMar>
              <w:top w:w="55" w:type="dxa"/>
              <w:left w:w="55" w:type="dxa"/>
              <w:bottom w:w="55" w:type="dxa"/>
              <w:right w:w="55" w:type="dxa"/>
            </w:tcMar>
          </w:tcPr>
          <w:p w:rsidR="00323F52" w:rsidRDefault="00766D7F">
            <w:pPr>
              <w:pStyle w:val="TableContents"/>
              <w:rPr>
                <w:rFonts w:cs="Arial, sans-serif"/>
              </w:rPr>
            </w:pPr>
            <w:r>
              <w:rPr>
                <w:rFonts w:cs="Arial, sans-serif"/>
              </w:rPr>
              <w:t>EDXL-CT</w:t>
            </w:r>
          </w:p>
        </w:tc>
      </w:tr>
      <w:tr w:rsidR="00323F52">
        <w:tc>
          <w:tcPr>
            <w:tcW w:w="5393" w:type="dxa"/>
            <w:tcBorders>
              <w:left w:val="single" w:sz="2" w:space="0" w:color="000000"/>
              <w:bottom w:val="single" w:sz="2" w:space="0" w:color="000000"/>
            </w:tcBorders>
            <w:tcMar>
              <w:top w:w="55" w:type="dxa"/>
              <w:left w:w="55" w:type="dxa"/>
              <w:bottom w:w="55" w:type="dxa"/>
              <w:right w:w="55" w:type="dxa"/>
            </w:tcMar>
          </w:tcPr>
          <w:p w:rsidR="00323F52" w:rsidRDefault="00766D7F">
            <w:pPr>
              <w:pStyle w:val="TableContents"/>
              <w:rPr>
                <w:rFonts w:cs="Arial, sans-serif"/>
              </w:rPr>
            </w:pPr>
            <w:proofErr w:type="spellStart"/>
            <w:r>
              <w:rPr>
                <w:rFonts w:cs="Arial, sans-serif"/>
              </w:rPr>
              <w:t>EDXLGeoLocationType</w:t>
            </w:r>
            <w:proofErr w:type="spellEnd"/>
          </w:p>
        </w:tc>
        <w:tc>
          <w:tcPr>
            <w:tcW w:w="5393" w:type="dxa"/>
            <w:tcBorders>
              <w:left w:val="single" w:sz="2" w:space="0" w:color="000000"/>
              <w:bottom w:val="single" w:sz="2" w:space="0" w:color="000000"/>
              <w:right w:val="single" w:sz="2" w:space="0" w:color="000000"/>
            </w:tcBorders>
            <w:tcMar>
              <w:top w:w="55" w:type="dxa"/>
              <w:left w:w="55" w:type="dxa"/>
              <w:bottom w:w="55" w:type="dxa"/>
              <w:right w:w="55" w:type="dxa"/>
            </w:tcMar>
          </w:tcPr>
          <w:p w:rsidR="00323F52" w:rsidRDefault="00766D7F">
            <w:pPr>
              <w:pStyle w:val="TableContents"/>
              <w:rPr>
                <w:rFonts w:cs="Arial, sans-serif"/>
              </w:rPr>
            </w:pPr>
            <w:r>
              <w:rPr>
                <w:rFonts w:cs="Arial, sans-serif"/>
              </w:rPr>
              <w:t>EDXL-GSF</w:t>
            </w:r>
          </w:p>
        </w:tc>
      </w:tr>
      <w:tr w:rsidR="00323F52">
        <w:tc>
          <w:tcPr>
            <w:tcW w:w="5393" w:type="dxa"/>
            <w:tcBorders>
              <w:left w:val="single" w:sz="2" w:space="0" w:color="000000"/>
              <w:bottom w:val="single" w:sz="2" w:space="0" w:color="000000"/>
            </w:tcBorders>
            <w:tcMar>
              <w:top w:w="55" w:type="dxa"/>
              <w:left w:w="55" w:type="dxa"/>
              <w:bottom w:w="55" w:type="dxa"/>
              <w:right w:w="55" w:type="dxa"/>
            </w:tcMar>
          </w:tcPr>
          <w:p w:rsidR="00323F52" w:rsidRDefault="00766D7F">
            <w:pPr>
              <w:pStyle w:val="TableContents"/>
              <w:rPr>
                <w:rFonts w:cs="Arial, sans-serif"/>
              </w:rPr>
            </w:pPr>
            <w:proofErr w:type="spellStart"/>
            <w:r>
              <w:rPr>
                <w:rFonts w:cs="Arial, sans-serif"/>
              </w:rPr>
              <w:t>EDXLGeoPoliticalLocationType</w:t>
            </w:r>
            <w:proofErr w:type="spellEnd"/>
          </w:p>
        </w:tc>
        <w:tc>
          <w:tcPr>
            <w:tcW w:w="5393" w:type="dxa"/>
            <w:tcBorders>
              <w:left w:val="single" w:sz="2" w:space="0" w:color="000000"/>
              <w:bottom w:val="single" w:sz="2" w:space="0" w:color="000000"/>
              <w:right w:val="single" w:sz="2" w:space="0" w:color="000000"/>
            </w:tcBorders>
            <w:tcMar>
              <w:top w:w="55" w:type="dxa"/>
              <w:left w:w="55" w:type="dxa"/>
              <w:bottom w:w="55" w:type="dxa"/>
              <w:right w:w="55" w:type="dxa"/>
            </w:tcMar>
          </w:tcPr>
          <w:p w:rsidR="00323F52" w:rsidRDefault="00766D7F">
            <w:pPr>
              <w:pStyle w:val="TableContents"/>
              <w:rPr>
                <w:rFonts w:cs="Arial, sans-serif"/>
              </w:rPr>
            </w:pPr>
            <w:r>
              <w:rPr>
                <w:rFonts w:cs="Arial, sans-serif"/>
              </w:rPr>
              <w:t>EDXL-CT</w:t>
            </w:r>
          </w:p>
        </w:tc>
      </w:tr>
      <w:tr w:rsidR="00323F52">
        <w:tc>
          <w:tcPr>
            <w:tcW w:w="5393" w:type="dxa"/>
            <w:tcBorders>
              <w:left w:val="single" w:sz="2" w:space="0" w:color="000000"/>
              <w:bottom w:val="single" w:sz="2" w:space="0" w:color="000000"/>
            </w:tcBorders>
            <w:tcMar>
              <w:top w:w="55" w:type="dxa"/>
              <w:left w:w="55" w:type="dxa"/>
              <w:bottom w:w="55" w:type="dxa"/>
              <w:right w:w="55" w:type="dxa"/>
            </w:tcMar>
          </w:tcPr>
          <w:p w:rsidR="00323F52" w:rsidRDefault="00766D7F">
            <w:pPr>
              <w:pStyle w:val="TableContents"/>
              <w:rPr>
                <w:rFonts w:cs="Arial, sans-serif"/>
              </w:rPr>
            </w:pPr>
            <w:proofErr w:type="spellStart"/>
            <w:r>
              <w:rPr>
                <w:rFonts w:cs="Arial, sans-serif"/>
              </w:rPr>
              <w:t>ValueListURI</w:t>
            </w:r>
            <w:proofErr w:type="spellEnd"/>
          </w:p>
        </w:tc>
        <w:tc>
          <w:tcPr>
            <w:tcW w:w="5393" w:type="dxa"/>
            <w:tcBorders>
              <w:left w:val="single" w:sz="2" w:space="0" w:color="000000"/>
              <w:bottom w:val="single" w:sz="2" w:space="0" w:color="000000"/>
              <w:right w:val="single" w:sz="2" w:space="0" w:color="000000"/>
            </w:tcBorders>
            <w:tcMar>
              <w:top w:w="55" w:type="dxa"/>
              <w:left w:w="55" w:type="dxa"/>
              <w:bottom w:w="55" w:type="dxa"/>
              <w:right w:w="55" w:type="dxa"/>
            </w:tcMar>
          </w:tcPr>
          <w:p w:rsidR="00323F52" w:rsidRDefault="00766D7F">
            <w:pPr>
              <w:pStyle w:val="TableContents"/>
              <w:rPr>
                <w:rFonts w:cs="Arial, sans-serif"/>
              </w:rPr>
            </w:pPr>
            <w:r>
              <w:rPr>
                <w:rFonts w:cs="Arial, sans-serif"/>
              </w:rPr>
              <w:t>EDXL-CT</w:t>
            </w:r>
          </w:p>
        </w:tc>
      </w:tr>
      <w:tr w:rsidR="00323F52">
        <w:tc>
          <w:tcPr>
            <w:tcW w:w="5393" w:type="dxa"/>
            <w:tcBorders>
              <w:left w:val="single" w:sz="2" w:space="0" w:color="000000"/>
              <w:bottom w:val="single" w:sz="2" w:space="0" w:color="000000"/>
            </w:tcBorders>
            <w:tcMar>
              <w:top w:w="55" w:type="dxa"/>
              <w:left w:w="55" w:type="dxa"/>
              <w:bottom w:w="55" w:type="dxa"/>
              <w:right w:w="55" w:type="dxa"/>
            </w:tcMar>
          </w:tcPr>
          <w:p w:rsidR="00323F52" w:rsidRDefault="00766D7F">
            <w:pPr>
              <w:pStyle w:val="TableContents"/>
              <w:rPr>
                <w:rFonts w:cs="Arial, sans-serif"/>
              </w:rPr>
            </w:pPr>
            <w:r>
              <w:rPr>
                <w:rFonts w:cs="Arial, sans-serif"/>
              </w:rPr>
              <w:t>Value</w:t>
            </w:r>
          </w:p>
        </w:tc>
        <w:tc>
          <w:tcPr>
            <w:tcW w:w="5393" w:type="dxa"/>
            <w:tcBorders>
              <w:left w:val="single" w:sz="2" w:space="0" w:color="000000"/>
              <w:bottom w:val="single" w:sz="2" w:space="0" w:color="000000"/>
              <w:right w:val="single" w:sz="2" w:space="0" w:color="000000"/>
            </w:tcBorders>
            <w:tcMar>
              <w:top w:w="55" w:type="dxa"/>
              <w:left w:w="55" w:type="dxa"/>
              <w:bottom w:w="55" w:type="dxa"/>
              <w:right w:w="55" w:type="dxa"/>
            </w:tcMar>
          </w:tcPr>
          <w:p w:rsidR="00323F52" w:rsidRDefault="00766D7F">
            <w:pPr>
              <w:pStyle w:val="TableContents"/>
              <w:rPr>
                <w:rFonts w:cs="Arial, sans-serif"/>
              </w:rPr>
            </w:pPr>
            <w:r>
              <w:rPr>
                <w:rFonts w:cs="Arial, sans-serif"/>
              </w:rPr>
              <w:t>EDXL-CT</w:t>
            </w:r>
          </w:p>
        </w:tc>
      </w:tr>
    </w:tbl>
    <w:p w:rsidR="00323F52" w:rsidRDefault="00323F52">
      <w:pPr>
        <w:pStyle w:val="Textbody"/>
        <w:rPr>
          <w:color w:val="000000"/>
        </w:rPr>
      </w:pPr>
    </w:p>
    <w:p w:rsidR="00323F52" w:rsidRDefault="00766D7F">
      <w:pPr>
        <w:pStyle w:val="Heading2"/>
      </w:pPr>
      <w:bookmarkStart w:id="6" w:name="__RefHeading__1665_2066116382"/>
      <w:r>
        <w:t>Terminology</w:t>
      </w:r>
      <w:bookmarkEnd w:id="6"/>
    </w:p>
    <w:p w:rsidR="00323F52" w:rsidRDefault="00766D7F">
      <w:r>
        <w:t xml:space="preserve">The key words “MUST”, “MUST NOT”, “REQUIRED”, “SHALL”, “SHALL NOT”, “SHOULD”, “SHOULD NOT”, “RECOMMENDED”, “MAY”, and “OPTIONAL” in this document are to be interpreted as described in </w:t>
      </w:r>
      <w:fldSimple w:instr=" REF rfc2119 ">
        <w:r>
          <w:t>Error: Reference source not found</w:t>
        </w:r>
      </w:fldSimple>
      <w:r>
        <w:t>.</w:t>
      </w:r>
    </w:p>
    <w:p w:rsidR="00B167D0" w:rsidRDefault="00B167D0">
      <w:r w:rsidRPr="00B167D0">
        <w:rPr>
          <w:highlight w:val="yellow"/>
        </w:rPr>
        <w:t>PLAN IN THE DATA DICTONARY TO USE THE MORE PRECISE ANNOTATIONS, E.G.  [1</w:t>
      </w:r>
      <w:proofErr w:type="gramStart"/>
      <w:r w:rsidRPr="00B167D0">
        <w:rPr>
          <w:highlight w:val="yellow"/>
        </w:rPr>
        <w:t>..*</w:t>
      </w:r>
      <w:proofErr w:type="gramEnd"/>
      <w:r w:rsidRPr="00B167D0">
        <w:rPr>
          <w:highlight w:val="yellow"/>
        </w:rPr>
        <w:t>]…</w:t>
      </w:r>
    </w:p>
    <w:p w:rsidR="00323F52" w:rsidRDefault="00766D7F">
      <w:r>
        <w:t>In addition, within this Specification, the keyword “CONDITIONAL” should be interpreted as potentially “R</w:t>
      </w:r>
      <w:r>
        <w:t>E</w:t>
      </w:r>
      <w:r>
        <w:t>QUIRED” or “OPTIONAL” depending on the surrounding context. The term payload refers to some body of info</w:t>
      </w:r>
      <w:r>
        <w:t>r</w:t>
      </w:r>
      <w:r>
        <w:t>mation contained in the distribution element. The term “REQUIRED” means that empty elements or NULL values are NOT allowed.</w:t>
      </w:r>
    </w:p>
    <w:p w:rsidR="00323F52" w:rsidRDefault="00766D7F">
      <w:pPr>
        <w:pStyle w:val="Heading2"/>
      </w:pPr>
      <w:bookmarkStart w:id="7" w:name="_Ref7502892"/>
      <w:bookmarkStart w:id="8" w:name="__RefHeading__1667_2066116382"/>
      <w:r>
        <w:t>Normative</w:t>
      </w:r>
      <w:bookmarkEnd w:id="7"/>
      <w:r>
        <w:t xml:space="preserve"> References</w:t>
      </w:r>
      <w:bookmarkEnd w:id="8"/>
    </w:p>
    <w:p w:rsidR="00B167D0" w:rsidRDefault="00B167D0">
      <w:pPr>
        <w:pStyle w:val="refterm"/>
        <w:ind w:left="1875" w:hanging="1500"/>
        <w:rPr>
          <w:szCs w:val="24"/>
        </w:rPr>
      </w:pPr>
      <w:r w:rsidRPr="00B167D0">
        <w:rPr>
          <w:szCs w:val="24"/>
          <w:highlight w:val="yellow"/>
        </w:rPr>
        <w:t>(ADD HAVE AS A NORMATIVE REFERENCE)</w:t>
      </w:r>
    </w:p>
    <w:p w:rsidR="00323F52" w:rsidRDefault="00766D7F">
      <w:pPr>
        <w:pStyle w:val="refterm"/>
        <w:ind w:left="1875" w:hanging="1500"/>
      </w:pPr>
      <w:r>
        <w:rPr>
          <w:szCs w:val="24"/>
        </w:rPr>
        <w:t>[RFC2046]</w:t>
      </w:r>
      <w:bookmarkStart w:id="9" w:name="rfc2046"/>
      <w:r>
        <w:tab/>
      </w:r>
      <w:r>
        <w:rPr>
          <w:b w:val="0"/>
          <w:bCs w:val="0"/>
          <w:color w:val="000000"/>
        </w:rPr>
        <w:t xml:space="preserve">N. Freed, </w:t>
      </w:r>
      <w:r>
        <w:rPr>
          <w:rStyle w:val="Emphasis"/>
          <w:b w:val="0"/>
          <w:bCs w:val="0"/>
          <w:color w:val="000000"/>
        </w:rPr>
        <w:t>Multipurpose Internet Mail Extensions (MIME) Part Two: Media Types</w:t>
      </w:r>
      <w:r>
        <w:rPr>
          <w:b w:val="0"/>
          <w:bCs w:val="0"/>
          <w:color w:val="000000"/>
        </w:rPr>
        <w:t>,</w:t>
      </w:r>
      <w:r>
        <w:t xml:space="preserve"> </w:t>
      </w:r>
      <w:bookmarkEnd w:id="9"/>
      <w:r>
        <w:fldChar w:fldCharType="begin"/>
      </w:r>
      <w:r>
        <w:instrText xml:space="preserve"> HYPERLINK  "http://www.ietf.org/rfc/rfc2046.txt" </w:instrText>
      </w:r>
      <w:r>
        <w:fldChar w:fldCharType="separate"/>
      </w:r>
      <w:r>
        <w:rPr>
          <w:rStyle w:val="Internetlink"/>
          <w:b w:val="0"/>
          <w:bCs w:val="0"/>
        </w:rPr>
        <w:t>http://www.ietf.org/rfc/rfc2046.txt</w:t>
      </w:r>
      <w:r>
        <w:rPr>
          <w:rStyle w:val="Internetlink"/>
          <w:b w:val="0"/>
          <w:bCs w:val="0"/>
        </w:rPr>
        <w:fldChar w:fldCharType="end"/>
      </w:r>
      <w:r>
        <w:t xml:space="preserve">, </w:t>
      </w:r>
      <w:r>
        <w:rPr>
          <w:b w:val="0"/>
          <w:bCs w:val="0"/>
          <w:color w:val="000000"/>
        </w:rPr>
        <w:t>IETF RFC 2046, November 1996.</w:t>
      </w:r>
    </w:p>
    <w:p w:rsidR="00323F52" w:rsidRDefault="00766D7F">
      <w:pPr>
        <w:pStyle w:val="refterm"/>
        <w:ind w:left="1875" w:hanging="1500"/>
      </w:pPr>
      <w:bookmarkStart w:id="10" w:name="rfc21191"/>
      <w:r>
        <w:t>[RFC2119]</w:t>
      </w:r>
      <w:r>
        <w:tab/>
        <w:t xml:space="preserve">S. </w:t>
      </w:r>
      <w:proofErr w:type="spellStart"/>
      <w:r>
        <w:rPr>
          <w:b w:val="0"/>
          <w:bCs w:val="0"/>
        </w:rPr>
        <w:t>Bradner</w:t>
      </w:r>
      <w:proofErr w:type="spellEnd"/>
      <w:r>
        <w:rPr>
          <w:b w:val="0"/>
          <w:bCs w:val="0"/>
        </w:rPr>
        <w:t xml:space="preserve">, </w:t>
      </w:r>
      <w:r>
        <w:rPr>
          <w:rStyle w:val="Emphasis"/>
          <w:b w:val="0"/>
          <w:bCs w:val="0"/>
        </w:rPr>
        <w:t>Key words for use in RFCs to Indicate Requirement Levels</w:t>
      </w:r>
      <w:r>
        <w:rPr>
          <w:b w:val="0"/>
          <w:bCs w:val="0"/>
        </w:rPr>
        <w:t xml:space="preserve">, </w:t>
      </w:r>
      <w:bookmarkEnd w:id="10"/>
      <w:r>
        <w:fldChar w:fldCharType="begin"/>
      </w:r>
      <w:r>
        <w:instrText xml:space="preserve"> HYPERLINK  "http://www.ietf.org/rfc/rfc2119.txt" </w:instrText>
      </w:r>
      <w:r>
        <w:fldChar w:fldCharType="separate"/>
      </w:r>
      <w:r>
        <w:rPr>
          <w:rStyle w:val="Internetlink"/>
          <w:b w:val="0"/>
          <w:bCs w:val="0"/>
        </w:rPr>
        <w:t>http://www.ietf.org/rfc/rfc2119.txt</w:t>
      </w:r>
      <w:r>
        <w:rPr>
          <w:rStyle w:val="Internetlink"/>
          <w:b w:val="0"/>
          <w:bCs w:val="0"/>
        </w:rPr>
        <w:fldChar w:fldCharType="end"/>
      </w:r>
      <w:r>
        <w:rPr>
          <w:b w:val="0"/>
          <w:bCs w:val="0"/>
        </w:rPr>
        <w:t>, IETF RFC 2119, March 1997.</w:t>
      </w:r>
    </w:p>
    <w:p w:rsidR="00323F52" w:rsidRDefault="00766D7F">
      <w:pPr>
        <w:pStyle w:val="refterm"/>
        <w:ind w:left="1875" w:hanging="1500"/>
      </w:pPr>
      <w:bookmarkStart w:id="11" w:name="xml1.0"/>
      <w:r>
        <w:t>RFC3066]</w:t>
      </w:r>
      <w:r>
        <w:tab/>
      </w:r>
      <w:r>
        <w:rPr>
          <w:b w:val="0"/>
          <w:bCs w:val="0"/>
        </w:rPr>
        <w:t xml:space="preserve">H. </w:t>
      </w:r>
      <w:proofErr w:type="spellStart"/>
      <w:r>
        <w:rPr>
          <w:b w:val="0"/>
          <w:bCs w:val="0"/>
        </w:rPr>
        <w:t>Alvestrand</w:t>
      </w:r>
      <w:proofErr w:type="spellEnd"/>
      <w:r>
        <w:rPr>
          <w:b w:val="0"/>
          <w:bCs w:val="0"/>
        </w:rPr>
        <w:t xml:space="preserve">, Tags for the Identification of Languages, </w:t>
      </w:r>
      <w:hyperlink r:id="rId21" w:history="1">
        <w:r>
          <w:rPr>
            <w:rStyle w:val="Internetlink"/>
            <w:b w:val="0"/>
            <w:bCs w:val="0"/>
          </w:rPr>
          <w:t>http://www.ietf.org/rfc/rfc3066.txt</w:t>
        </w:r>
      </w:hyperlink>
      <w:r>
        <w:rPr>
          <w:b w:val="0"/>
          <w:bCs w:val="0"/>
        </w:rPr>
        <w:t>, IETF RFC 3066, January 2001.</w:t>
      </w:r>
    </w:p>
    <w:p w:rsidR="00323F52" w:rsidRDefault="00766D7F">
      <w:pPr>
        <w:pStyle w:val="refterm"/>
        <w:ind w:left="1875" w:hanging="1500"/>
      </w:pPr>
      <w:r>
        <w:t>[WGS 84]</w:t>
      </w:r>
      <w:r>
        <w:tab/>
      </w:r>
      <w:r>
        <w:rPr>
          <w:b w:val="0"/>
          <w:bCs w:val="0"/>
        </w:rPr>
        <w:t xml:space="preserve">National Geospatial Intelligence Agency, Department of Defense World Geodetic System 1984, </w:t>
      </w:r>
      <w:hyperlink r:id="rId22" w:history="1">
        <w:r>
          <w:rPr>
            <w:rStyle w:val="Internetlink"/>
            <w:b w:val="0"/>
            <w:bCs w:val="0"/>
          </w:rPr>
          <w:t>http://earth-info.nga.mil/GandG/publications/tr8350.2/tr8350_2.html</w:t>
        </w:r>
      </w:hyperlink>
      <w:r>
        <w:rPr>
          <w:b w:val="0"/>
          <w:bCs w:val="0"/>
        </w:rPr>
        <w:t>, NGA Technical Report TR8350.2, January 2000.</w:t>
      </w:r>
    </w:p>
    <w:p w:rsidR="00323F52" w:rsidRDefault="00766D7F">
      <w:pPr>
        <w:pStyle w:val="refterm"/>
        <w:ind w:left="1875" w:hanging="1500"/>
      </w:pPr>
      <w:r>
        <w:t>[XML 1.0]</w:t>
      </w:r>
      <w:r>
        <w:rPr>
          <w:b w:val="0"/>
          <w:bCs w:val="0"/>
        </w:rPr>
        <w:tab/>
      </w:r>
      <w:r>
        <w:t xml:space="preserve">T. </w:t>
      </w:r>
      <w:r>
        <w:rPr>
          <w:b w:val="0"/>
          <w:bCs w:val="0"/>
        </w:rPr>
        <w:t xml:space="preserve">Bray, </w:t>
      </w:r>
      <w:r>
        <w:rPr>
          <w:rStyle w:val="Emphasis"/>
          <w:b w:val="0"/>
          <w:bCs w:val="0"/>
        </w:rPr>
        <w:t>Extensible Markup Language (XML) 1.0 (Third Edition)</w:t>
      </w:r>
      <w:r>
        <w:rPr>
          <w:b w:val="0"/>
          <w:bCs w:val="0"/>
        </w:rPr>
        <w:t xml:space="preserve">, </w:t>
      </w:r>
      <w:bookmarkEnd w:id="11"/>
      <w:r>
        <w:fldChar w:fldCharType="begin"/>
      </w:r>
      <w:r>
        <w:instrText xml:space="preserve"> HYPERLINK  "http://www.w3.org/TR/REC-xml/" </w:instrText>
      </w:r>
      <w:r>
        <w:fldChar w:fldCharType="separate"/>
      </w:r>
      <w:r>
        <w:rPr>
          <w:rStyle w:val="Internetlink"/>
          <w:b w:val="0"/>
          <w:bCs w:val="0"/>
        </w:rPr>
        <w:t>http://www.w3.org/TR/REC-xml/</w:t>
      </w:r>
      <w:r>
        <w:rPr>
          <w:rStyle w:val="Internetlink"/>
          <w:b w:val="0"/>
          <w:bCs w:val="0"/>
        </w:rPr>
        <w:fldChar w:fldCharType="end"/>
      </w:r>
      <w:r>
        <w:rPr>
          <w:b w:val="0"/>
          <w:bCs w:val="0"/>
        </w:rPr>
        <w:t>, W3C REC-XML-20040204, February 2004.</w:t>
      </w:r>
    </w:p>
    <w:p w:rsidR="00323F52" w:rsidRDefault="00766D7F">
      <w:pPr>
        <w:pStyle w:val="refterm"/>
        <w:ind w:left="1875" w:hanging="1500"/>
      </w:pPr>
      <w:r>
        <w:t>[</w:t>
      </w:r>
      <w:bookmarkStart w:id="12" w:name="namespaces"/>
      <w:r>
        <w:t>namespaces]</w:t>
      </w:r>
      <w:r>
        <w:tab/>
      </w:r>
      <w:r>
        <w:rPr>
          <w:b w:val="0"/>
          <w:bCs w:val="0"/>
        </w:rPr>
        <w:t xml:space="preserve">T. Bray, </w:t>
      </w:r>
      <w:r>
        <w:rPr>
          <w:rStyle w:val="Emphasis"/>
          <w:b w:val="0"/>
          <w:bCs w:val="0"/>
        </w:rPr>
        <w:t>Namespaces in XML</w:t>
      </w:r>
      <w:r>
        <w:rPr>
          <w:b w:val="0"/>
          <w:bCs w:val="0"/>
        </w:rPr>
        <w:t xml:space="preserve">, </w:t>
      </w:r>
      <w:bookmarkEnd w:id="12"/>
      <w:r>
        <w:fldChar w:fldCharType="begin"/>
      </w:r>
      <w:r>
        <w:instrText xml:space="preserve"> HYPERLINK  "http://www.w3.org/TR/REC-xml-names/" </w:instrText>
      </w:r>
      <w:r>
        <w:fldChar w:fldCharType="separate"/>
      </w:r>
      <w:r>
        <w:rPr>
          <w:rStyle w:val="Internetlink"/>
          <w:b w:val="0"/>
          <w:bCs w:val="0"/>
        </w:rPr>
        <w:t>http://www.w3.org/TR/REC-xml-names/</w:t>
      </w:r>
      <w:r>
        <w:rPr>
          <w:rStyle w:val="Internetlink"/>
          <w:b w:val="0"/>
          <w:bCs w:val="0"/>
        </w:rPr>
        <w:fldChar w:fldCharType="end"/>
      </w:r>
      <w:r>
        <w:rPr>
          <w:b w:val="0"/>
          <w:bCs w:val="0"/>
        </w:rPr>
        <w:t>, W3C REC-xml-names-19990114, January 1999.</w:t>
      </w:r>
    </w:p>
    <w:p w:rsidR="00323F52" w:rsidRDefault="00766D7F">
      <w:pPr>
        <w:pStyle w:val="refterm"/>
        <w:ind w:left="1875" w:hanging="1500"/>
      </w:pPr>
      <w:r>
        <w:t>[</w:t>
      </w:r>
      <w:proofErr w:type="spellStart"/>
      <w:r>
        <w:t>dateTime</w:t>
      </w:r>
      <w:proofErr w:type="spellEnd"/>
      <w:r>
        <w:t>]</w:t>
      </w:r>
      <w:r>
        <w:tab/>
      </w:r>
      <w:r>
        <w:rPr>
          <w:b w:val="0"/>
          <w:bCs w:val="0"/>
        </w:rPr>
        <w:t xml:space="preserve">N. Freed, </w:t>
      </w:r>
      <w:r>
        <w:rPr>
          <w:rStyle w:val="Emphasis"/>
          <w:b w:val="0"/>
          <w:bCs w:val="0"/>
        </w:rPr>
        <w:t xml:space="preserve">XML Schema Part 2: </w:t>
      </w:r>
      <w:proofErr w:type="spellStart"/>
      <w:r>
        <w:rPr>
          <w:rStyle w:val="Emphasis"/>
          <w:b w:val="0"/>
          <w:bCs w:val="0"/>
        </w:rPr>
        <w:t>Datatypes</w:t>
      </w:r>
      <w:proofErr w:type="spellEnd"/>
      <w:r>
        <w:rPr>
          <w:rStyle w:val="Emphasis"/>
          <w:b w:val="0"/>
          <w:bCs w:val="0"/>
        </w:rPr>
        <w:t xml:space="preserve"> Second Edition</w:t>
      </w:r>
      <w:r>
        <w:rPr>
          <w:b w:val="0"/>
          <w:bCs w:val="0"/>
        </w:rPr>
        <w:t xml:space="preserve">, </w:t>
      </w:r>
      <w:hyperlink r:id="rId23" w:anchor="dateTime" w:history="1">
        <w:r>
          <w:rPr>
            <w:rStyle w:val="Internetlink"/>
            <w:b w:val="0"/>
            <w:bCs w:val="0"/>
          </w:rPr>
          <w:t>http://www.w3.org/TR/xmlschema-2/#dateTime</w:t>
        </w:r>
      </w:hyperlink>
      <w:r>
        <w:rPr>
          <w:rStyle w:val="Internetlink"/>
          <w:b w:val="0"/>
          <w:bCs w:val="0"/>
        </w:rPr>
        <w:t>,</w:t>
      </w:r>
      <w:r>
        <w:rPr>
          <w:b w:val="0"/>
          <w:bCs w:val="0"/>
        </w:rPr>
        <w:t xml:space="preserve"> W3C REC-xmlschema-2, October 2004.</w:t>
      </w:r>
    </w:p>
    <w:p w:rsidR="00323F52" w:rsidRDefault="00766D7F">
      <w:pPr>
        <w:pStyle w:val="refterm"/>
        <w:ind w:left="1875" w:hanging="1500"/>
      </w:pPr>
      <w:r>
        <w:t>[</w:t>
      </w:r>
      <w:proofErr w:type="spellStart"/>
      <w:r>
        <w:t>xlink</w:t>
      </w:r>
      <w:proofErr w:type="spellEnd"/>
      <w:r>
        <w:t>]</w:t>
      </w:r>
      <w:r>
        <w:tab/>
      </w:r>
      <w:r>
        <w:rPr>
          <w:b w:val="0"/>
          <w:bCs w:val="0"/>
        </w:rPr>
        <w:t xml:space="preserve">S. </w:t>
      </w:r>
      <w:proofErr w:type="spellStart"/>
      <w:r>
        <w:rPr>
          <w:b w:val="0"/>
          <w:bCs w:val="0"/>
        </w:rPr>
        <w:t>DeRose</w:t>
      </w:r>
      <w:proofErr w:type="spellEnd"/>
      <w:r>
        <w:rPr>
          <w:b w:val="0"/>
          <w:bCs w:val="0"/>
        </w:rPr>
        <w:t xml:space="preserve"> et al, </w:t>
      </w:r>
      <w:r>
        <w:rPr>
          <w:rStyle w:val="Emphasis"/>
          <w:b w:val="0"/>
          <w:bCs w:val="0"/>
        </w:rPr>
        <w:t>XML Linking Language (</w:t>
      </w:r>
      <w:proofErr w:type="spellStart"/>
      <w:r>
        <w:rPr>
          <w:rStyle w:val="Emphasis"/>
          <w:b w:val="0"/>
          <w:bCs w:val="0"/>
        </w:rPr>
        <w:t>Xlink</w:t>
      </w:r>
      <w:proofErr w:type="spellEnd"/>
      <w:r>
        <w:rPr>
          <w:rStyle w:val="Emphasis"/>
          <w:b w:val="0"/>
          <w:bCs w:val="0"/>
        </w:rPr>
        <w:t>) Version 1.1</w:t>
      </w:r>
      <w:r>
        <w:rPr>
          <w:b w:val="0"/>
          <w:bCs w:val="0"/>
        </w:rPr>
        <w:t xml:space="preserve">, </w:t>
      </w:r>
      <w:hyperlink r:id="rId24" w:history="1">
        <w:r>
          <w:rPr>
            <w:rStyle w:val="Internetlink"/>
            <w:b w:val="0"/>
            <w:bCs w:val="0"/>
          </w:rPr>
          <w:t>http://www.w3.org/TR/xlink11/</w:t>
        </w:r>
      </w:hyperlink>
      <w:r>
        <w:rPr>
          <w:b w:val="0"/>
          <w:bCs w:val="0"/>
        </w:rPr>
        <w:t>, W3C REC-xlink11, May 2010.</w:t>
      </w:r>
      <w:r>
        <w:rPr>
          <w:b w:val="0"/>
          <w:bCs w:val="0"/>
        </w:rPr>
        <w:tab/>
      </w:r>
    </w:p>
    <w:p w:rsidR="00323F52" w:rsidRDefault="00766D7F">
      <w:pPr>
        <w:pStyle w:val="refterm"/>
        <w:ind w:left="1875" w:hanging="1500"/>
      </w:pPr>
      <w:r>
        <w:t>[EDXL-CIQ]</w:t>
      </w:r>
      <w:r>
        <w:tab/>
      </w:r>
      <w:r>
        <w:rPr>
          <w:rFonts w:ascii="Arial" w:hAnsi="Arial"/>
          <w:b w:val="0"/>
          <w:bCs w:val="0"/>
        </w:rPr>
        <w:t xml:space="preserve">W. Joerg, </w:t>
      </w:r>
      <w:r>
        <w:rPr>
          <w:rFonts w:ascii="Arial" w:hAnsi="Arial"/>
          <w:b w:val="0"/>
          <w:bCs w:val="0"/>
          <w:i/>
          <w:iCs/>
        </w:rPr>
        <w:t>OASIS Committee Specification Draft Emergency Data Exchange La</w:t>
      </w:r>
      <w:r>
        <w:rPr>
          <w:rFonts w:ascii="Arial" w:hAnsi="Arial"/>
          <w:b w:val="0"/>
          <w:bCs w:val="0"/>
          <w:i/>
          <w:iCs/>
        </w:rPr>
        <w:t>n</w:t>
      </w:r>
      <w:r>
        <w:rPr>
          <w:rFonts w:ascii="Arial" w:hAnsi="Arial"/>
          <w:b w:val="0"/>
          <w:bCs w:val="0"/>
          <w:i/>
          <w:iCs/>
        </w:rPr>
        <w:t>guage Customer Information Quality</w:t>
      </w:r>
      <w:r>
        <w:rPr>
          <w:rFonts w:ascii="Arial" w:hAnsi="Arial"/>
          <w:b w:val="0"/>
          <w:bCs w:val="0"/>
        </w:rPr>
        <w:t xml:space="preserve"> </w:t>
      </w:r>
      <w:hyperlink r:id="rId25" w:history="1">
        <w:r>
          <w:rPr>
            <w:b w:val="0"/>
            <w:bCs w:val="0"/>
          </w:rPr>
          <w:t>http://docs.oasis-open.org/emergency/edxl-ciq/v1.0/csd02/</w:t>
        </w:r>
      </w:hyperlink>
      <w:r>
        <w:rPr>
          <w:rFonts w:ascii="Arial" w:hAnsi="Arial"/>
          <w:b w:val="0"/>
          <w:bCs w:val="0"/>
        </w:rPr>
        <w:t xml:space="preserve"> , September, 2011</w:t>
      </w:r>
    </w:p>
    <w:p w:rsidR="00323F52" w:rsidRDefault="00766D7F">
      <w:pPr>
        <w:pStyle w:val="refterm"/>
        <w:ind w:left="1875" w:hanging="1500"/>
      </w:pPr>
      <w:r>
        <w:t>[EDXL-CT]</w:t>
      </w:r>
      <w:r>
        <w:tab/>
      </w:r>
      <w:r>
        <w:rPr>
          <w:rFonts w:ascii="Arial" w:hAnsi="Arial"/>
          <w:b w:val="0"/>
          <w:bCs w:val="0"/>
        </w:rPr>
        <w:t xml:space="preserve">W. Joerg, </w:t>
      </w:r>
      <w:r>
        <w:rPr>
          <w:rFonts w:ascii="Arial" w:hAnsi="Arial"/>
          <w:b w:val="0"/>
          <w:bCs w:val="0"/>
          <w:i/>
          <w:iCs/>
        </w:rPr>
        <w:t>OASIS Committee Specification Draft Emergency Data Exchange La</w:t>
      </w:r>
      <w:r>
        <w:rPr>
          <w:rFonts w:ascii="Arial" w:hAnsi="Arial"/>
          <w:b w:val="0"/>
          <w:bCs w:val="0"/>
          <w:i/>
          <w:iCs/>
        </w:rPr>
        <w:t>n</w:t>
      </w:r>
      <w:r>
        <w:rPr>
          <w:rFonts w:ascii="Arial" w:hAnsi="Arial"/>
          <w:b w:val="0"/>
          <w:bCs w:val="0"/>
          <w:i/>
          <w:iCs/>
        </w:rPr>
        <w:t>guage Common Types</w:t>
      </w:r>
      <w:r>
        <w:rPr>
          <w:rFonts w:ascii="Arial" w:hAnsi="Arial"/>
          <w:b w:val="0"/>
          <w:bCs w:val="0"/>
        </w:rPr>
        <w:t xml:space="preserve"> </w:t>
      </w:r>
      <w:hyperlink r:id="rId26" w:history="1">
        <w:r>
          <w:rPr>
            <w:b w:val="0"/>
            <w:bCs w:val="0"/>
          </w:rPr>
          <w:t>http://docs.oasis-open.org/emergency/edxl-ct/v1.0/csd02/</w:t>
        </w:r>
      </w:hyperlink>
      <w:r>
        <w:rPr>
          <w:rFonts w:ascii="Arial" w:hAnsi="Arial"/>
          <w:b w:val="0"/>
          <w:bCs w:val="0"/>
        </w:rPr>
        <w:t xml:space="preserve"> , N</w:t>
      </w:r>
      <w:r>
        <w:rPr>
          <w:rFonts w:ascii="Arial" w:hAnsi="Arial"/>
          <w:b w:val="0"/>
          <w:bCs w:val="0"/>
        </w:rPr>
        <w:t>o</w:t>
      </w:r>
      <w:r>
        <w:rPr>
          <w:rFonts w:ascii="Arial" w:hAnsi="Arial"/>
          <w:b w:val="0"/>
          <w:bCs w:val="0"/>
        </w:rPr>
        <w:t>vember, 2011</w:t>
      </w:r>
    </w:p>
    <w:p w:rsidR="00323F52" w:rsidRDefault="00766D7F">
      <w:pPr>
        <w:pStyle w:val="refterm"/>
        <w:ind w:left="1875" w:hanging="1500"/>
      </w:pPr>
      <w:r>
        <w:t>[EDXL-GSF]</w:t>
      </w:r>
      <w:r>
        <w:tab/>
      </w:r>
      <w:r>
        <w:rPr>
          <w:rFonts w:ascii="Arial" w:hAnsi="Arial"/>
          <w:b w:val="0"/>
          <w:bCs w:val="0"/>
        </w:rPr>
        <w:t xml:space="preserve">W. Joerg, </w:t>
      </w:r>
      <w:r>
        <w:rPr>
          <w:rFonts w:ascii="Arial" w:hAnsi="Arial"/>
          <w:b w:val="0"/>
          <w:bCs w:val="0"/>
          <w:i/>
          <w:iCs/>
        </w:rPr>
        <w:t>OASIS Committee Specification Draft Emergency Data Exchange La</w:t>
      </w:r>
      <w:r>
        <w:rPr>
          <w:rFonts w:ascii="Arial" w:hAnsi="Arial"/>
          <w:b w:val="0"/>
          <w:bCs w:val="0"/>
          <w:i/>
          <w:iCs/>
        </w:rPr>
        <w:t>n</w:t>
      </w:r>
      <w:r>
        <w:rPr>
          <w:rFonts w:ascii="Arial" w:hAnsi="Arial"/>
          <w:b w:val="0"/>
          <w:bCs w:val="0"/>
          <w:i/>
          <w:iCs/>
        </w:rPr>
        <w:t>guage GML Simple Features</w:t>
      </w:r>
      <w:r>
        <w:rPr>
          <w:rFonts w:ascii="Arial" w:hAnsi="Arial"/>
          <w:b w:val="0"/>
          <w:bCs w:val="0"/>
        </w:rPr>
        <w:t xml:space="preserve"> </w:t>
      </w:r>
      <w:hyperlink r:id="rId27" w:history="1">
        <w:r>
          <w:rPr>
            <w:b w:val="0"/>
            <w:bCs w:val="0"/>
          </w:rPr>
          <w:t>http://docs.oasis-open.org/emergency/edxl-gsf/v1.0/csd01/</w:t>
        </w:r>
      </w:hyperlink>
      <w:r>
        <w:rPr>
          <w:rFonts w:ascii="Arial" w:hAnsi="Arial"/>
          <w:b w:val="0"/>
          <w:bCs w:val="0"/>
        </w:rPr>
        <w:t xml:space="preserve"> , September, 2011</w:t>
      </w:r>
    </w:p>
    <w:p w:rsidR="00323F52" w:rsidRDefault="00766D7F">
      <w:pPr>
        <w:pStyle w:val="refterm"/>
        <w:ind w:left="1875" w:hanging="1500"/>
      </w:pPr>
      <w:r>
        <w:rPr>
          <w:rFonts w:ascii="Arial" w:hAnsi="Arial"/>
        </w:rPr>
        <w:t>[EDXL-HAVE]</w:t>
      </w:r>
      <w:r>
        <w:rPr>
          <w:rFonts w:ascii="Arial" w:hAnsi="Arial"/>
        </w:rPr>
        <w:tab/>
      </w:r>
      <w:r>
        <w:rPr>
          <w:rFonts w:ascii="Arial" w:hAnsi="Arial"/>
          <w:b w:val="0"/>
          <w:bCs w:val="0"/>
          <w:i/>
          <w:iCs/>
        </w:rPr>
        <w:t>Em</w:t>
      </w:r>
      <w:r>
        <w:rPr>
          <w:rFonts w:ascii="Arial" w:hAnsi="Arial"/>
          <w:b w:val="0"/>
          <w:bCs w:val="0"/>
          <w:i/>
        </w:rPr>
        <w:t xml:space="preserve">ergency Data Exchange Language (EDXL) Hospital </w:t>
      </w:r>
      <w:proofErr w:type="spellStart"/>
      <w:r>
        <w:rPr>
          <w:rFonts w:ascii="Arial" w:hAnsi="Arial"/>
          <w:b w:val="0"/>
          <w:bCs w:val="0"/>
          <w:i/>
        </w:rPr>
        <w:t>AVailablity</w:t>
      </w:r>
      <w:proofErr w:type="spellEnd"/>
      <w:r>
        <w:rPr>
          <w:rFonts w:ascii="Arial" w:hAnsi="Arial"/>
          <w:b w:val="0"/>
          <w:bCs w:val="0"/>
          <w:i/>
        </w:rPr>
        <w:t xml:space="preserve"> Exchange.</w:t>
      </w:r>
      <w:r>
        <w:rPr>
          <w:rFonts w:ascii="Arial" w:hAnsi="Arial"/>
          <w:b w:val="0"/>
          <w:bCs w:val="0"/>
        </w:rPr>
        <w:t>. O</w:t>
      </w:r>
      <w:r>
        <w:rPr>
          <w:rFonts w:ascii="Arial" w:hAnsi="Arial"/>
          <w:b w:val="0"/>
          <w:bCs w:val="0"/>
        </w:rPr>
        <w:t>A</w:t>
      </w:r>
      <w:r>
        <w:rPr>
          <w:rFonts w:ascii="Arial" w:hAnsi="Arial"/>
          <w:b w:val="0"/>
          <w:bCs w:val="0"/>
        </w:rPr>
        <w:t>SIS Standard 01 http://docs.oasis-open.org/emergency/edxlhave/v1.0/emergency_edxl_have-1.0.html, 1 November 2008</w:t>
      </w:r>
    </w:p>
    <w:p w:rsidR="00323F52" w:rsidRDefault="00766D7F">
      <w:pPr>
        <w:pStyle w:val="Textbody"/>
        <w:ind w:left="1875" w:hanging="1500"/>
      </w:pPr>
      <w:r>
        <w:t>[</w:t>
      </w:r>
      <w:r>
        <w:rPr>
          <w:b/>
          <w:bCs/>
        </w:rPr>
        <w:t>EDXL-RM]</w:t>
      </w:r>
      <w:r>
        <w:rPr>
          <w:b/>
          <w:bCs/>
        </w:rPr>
        <w:tab/>
      </w:r>
      <w:r>
        <w:rPr>
          <w:i/>
        </w:rPr>
        <w:t>Emergency Data Exchange Language (EDXL) Resource Messaging</w:t>
      </w:r>
      <w:r>
        <w:t>. OASIS Stan</w:t>
      </w:r>
      <w:r>
        <w:t>d</w:t>
      </w:r>
      <w:r>
        <w:t>ard. V1.0. http://docs.oasis-open.org/emergency/edxl-rm/v1.0/errata/EDXL-RM-v1.0-OS-errata-os.html</w:t>
      </w:r>
      <w:r>
        <w:rPr>
          <w:i/>
        </w:rPr>
        <w:t>,</w:t>
      </w:r>
      <w:r>
        <w:t xml:space="preserve"> 1 November 2008</w:t>
      </w:r>
    </w:p>
    <w:p w:rsidR="00323F52" w:rsidRDefault="00766D7F">
      <w:pPr>
        <w:pStyle w:val="Textbody"/>
        <w:suppressLineNumbers w:val="0"/>
        <w:ind w:left="1875" w:hanging="1500"/>
      </w:pPr>
      <w:r>
        <w:rPr>
          <w:b/>
          <w:bCs/>
        </w:rPr>
        <w:t>[EDXL-SitRep]</w:t>
      </w:r>
      <w:r>
        <w:rPr>
          <w:b/>
          <w:bCs/>
        </w:rPr>
        <w:tab/>
      </w:r>
      <w:r>
        <w:rPr>
          <w:i/>
        </w:rPr>
        <w:t>Emergency Data Exchange Language Situation Reporting (EDXL-SitRep) Version 1.0</w:t>
      </w:r>
      <w:r>
        <w:t>. 4 May 2012. OASIS Committee Specification Draft 01 / Working Draft 18.</w:t>
      </w:r>
    </w:p>
    <w:p w:rsidR="00323F52" w:rsidRDefault="00766D7F">
      <w:pPr>
        <w:pStyle w:val="Heading2"/>
      </w:pPr>
      <w:bookmarkStart w:id="13" w:name="__RefHeading__1669_2066116382"/>
      <w:r>
        <w:t>Non-Normative References</w:t>
      </w:r>
      <w:bookmarkEnd w:id="13"/>
    </w:p>
    <w:p w:rsidR="00323F52" w:rsidRDefault="00766D7F">
      <w:pPr>
        <w:pStyle w:val="Ref"/>
      </w:pPr>
      <w:r>
        <w:rPr>
          <w:rStyle w:val="Refterm0"/>
        </w:rPr>
        <w:t>[</w:t>
      </w:r>
      <w:r>
        <w:rPr>
          <w:b/>
          <w:szCs w:val="24"/>
        </w:rPr>
        <w:t>EDXL</w:t>
      </w:r>
      <w:r>
        <w:rPr>
          <w:rStyle w:val="Refterm0"/>
        </w:rPr>
        <w:t xml:space="preserve"> General Functional Requirements]</w:t>
      </w:r>
    </w:p>
    <w:p w:rsidR="00323F52" w:rsidRDefault="00766D7F">
      <w:pPr>
        <w:pStyle w:val="Ref"/>
      </w:pPr>
      <w:r>
        <w:rPr>
          <w:rStyle w:val="Refterm0"/>
          <w:b w:val="0"/>
        </w:rPr>
        <w:tab/>
      </w:r>
      <w:r>
        <w:rPr>
          <w:rStyle w:val="Emphasis"/>
        </w:rPr>
        <w:t>EDXL General Functional Requirements</w:t>
      </w:r>
      <w:r>
        <w:rPr>
          <w:rStyle w:val="Refterm0"/>
          <w:b w:val="0"/>
        </w:rPr>
        <w:t xml:space="preserve">, </w:t>
      </w:r>
      <w:hyperlink r:id="rId28" w:history="1">
        <w:r>
          <w:rPr>
            <w:rStyle w:val="Internetlink"/>
          </w:rPr>
          <w:t>http://www.oasis-open.org/committees/document.php?document_id=10031&amp;wg_abbrev=emergency</w:t>
        </w:r>
      </w:hyperlink>
      <w:r>
        <w:rPr>
          <w:rStyle w:val="Refterm0"/>
          <w:b w:val="0"/>
        </w:rPr>
        <w:t>, November 2004.</w:t>
      </w:r>
    </w:p>
    <w:p w:rsidR="00323F52" w:rsidRDefault="00766D7F">
      <w:pPr>
        <w:pStyle w:val="refterm"/>
        <w:ind w:left="1815" w:hanging="1455"/>
      </w:pPr>
      <w:r>
        <w:t>[EDXL Distribution Element Implementer's Guide]</w:t>
      </w:r>
    </w:p>
    <w:p w:rsidR="00323F52" w:rsidRDefault="00766D7F">
      <w:pPr>
        <w:pStyle w:val="refterm"/>
        <w:ind w:left="1815" w:hanging="1455"/>
      </w:pPr>
      <w:r>
        <w:rPr>
          <w:rStyle w:val="Emphasis"/>
          <w:b w:val="0"/>
          <w:bCs w:val="0"/>
        </w:rPr>
        <w:tab/>
        <w:t>EDXL Distribution Element Implementer's Guide</w:t>
      </w:r>
      <w:r>
        <w:rPr>
          <w:b w:val="0"/>
          <w:bCs w:val="0"/>
        </w:rPr>
        <w:t xml:space="preserve">, </w:t>
      </w:r>
      <w:hyperlink r:id="rId29" w:history="1">
        <w:r>
          <w:rPr>
            <w:rStyle w:val="Internetlink"/>
            <w:b w:val="0"/>
            <w:bCs w:val="0"/>
          </w:rPr>
          <w:t>http://www.oasis-open.org/committees/document.php?document_id=14120&amp;wg_abbrev=emergency</w:t>
        </w:r>
      </w:hyperlink>
      <w:r>
        <w:rPr>
          <w:b w:val="0"/>
          <w:bCs w:val="0"/>
        </w:rPr>
        <w:t>, August 2005</w:t>
      </w:r>
    </w:p>
    <w:p w:rsidR="00323F52" w:rsidRDefault="00323F52">
      <w:pPr>
        <w:pStyle w:val="Standard"/>
        <w:spacing w:before="115" w:after="115"/>
        <w:ind w:left="720" w:right="720"/>
      </w:pPr>
    </w:p>
    <w:p w:rsidR="00323F52" w:rsidRDefault="00766D7F">
      <w:pPr>
        <w:pStyle w:val="Heading1"/>
      </w:pPr>
      <w:bookmarkStart w:id="14" w:name="__RefHeading__1380_291491422"/>
      <w:r>
        <w:t>Design Principles &amp; Concepts (non-normative)</w:t>
      </w:r>
      <w:bookmarkEnd w:id="14"/>
    </w:p>
    <w:p w:rsidR="00323F52" w:rsidRDefault="00766D7F">
      <w:pPr>
        <w:pStyle w:val="Heading2"/>
      </w:pPr>
      <w:bookmarkStart w:id="15" w:name="__RefHeading__1382_291491422"/>
      <w:r>
        <w:t>Design Philosophy</w:t>
      </w:r>
      <w:bookmarkEnd w:id="15"/>
    </w:p>
    <w:p w:rsidR="00323F52" w:rsidRDefault="00B167D0">
      <w:r w:rsidRPr="00B167D0">
        <w:rPr>
          <w:highlight w:val="yellow"/>
        </w:rPr>
        <w:t>WERNER PULL IN BOILER PLATE FROM SITREP, THEN WE TAILOR FOR TEP</w:t>
      </w:r>
    </w:p>
    <w:p w:rsidR="00323F52" w:rsidRDefault="00766D7F">
      <w:pPr>
        <w:pStyle w:val="Heading2"/>
      </w:pPr>
      <w:bookmarkStart w:id="16" w:name="__RefHeading__1384_291491422"/>
      <w:r>
        <w:t>Requirements for Design</w:t>
      </w:r>
      <w:bookmarkEnd w:id="16"/>
    </w:p>
    <w:p w:rsidR="00323F52" w:rsidRDefault="00323F52"/>
    <w:p w:rsidR="00323F52" w:rsidRDefault="00766D7F">
      <w:pPr>
        <w:pStyle w:val="Heading2"/>
      </w:pPr>
      <w:bookmarkStart w:id="17" w:name="__RefHeading__1386_291491422"/>
      <w:r>
        <w:t>Example Usage Scenarios</w:t>
      </w:r>
      <w:bookmarkEnd w:id="17"/>
    </w:p>
    <w:p w:rsidR="00323F52" w:rsidRDefault="00323F52"/>
    <w:p w:rsidR="00323F52" w:rsidRDefault="00B167D0">
      <w:r w:rsidRPr="00B167D0">
        <w:rPr>
          <w:highlight w:val="yellow"/>
        </w:rPr>
        <w:t>TIM TAILOR THIS SECTION</w:t>
      </w:r>
    </w:p>
    <w:p w:rsidR="00323F52" w:rsidRDefault="00766D7F">
      <w:pPr>
        <w:pStyle w:val="Heading1"/>
        <w:rPr>
          <w:sz w:val="28"/>
          <w:szCs w:val="28"/>
        </w:rPr>
      </w:pPr>
      <w:bookmarkStart w:id="18" w:name="__RefHeading__1388_291491422"/>
      <w:r>
        <w:t xml:space="preserve">EDXL Tracking of Emergency </w:t>
      </w:r>
      <w:proofErr w:type="gramStart"/>
      <w:r>
        <w:t>Patients</w:t>
      </w:r>
      <w:proofErr w:type="gramEnd"/>
      <w:r>
        <w:br/>
      </w:r>
      <w:r>
        <w:rPr>
          <w:sz w:val="28"/>
          <w:szCs w:val="28"/>
        </w:rPr>
        <w:t>(normative unless stated otherwise)</w:t>
      </w:r>
      <w:bookmarkEnd w:id="18"/>
    </w:p>
    <w:p w:rsidR="00B167D0" w:rsidRPr="00B167D0" w:rsidRDefault="00B167D0" w:rsidP="00B167D0">
      <w:r w:rsidRPr="00B167D0">
        <w:rPr>
          <w:highlight w:val="yellow"/>
        </w:rPr>
        <w:t>(TIM - ADD HERE DESCRIPTION</w:t>
      </w:r>
      <w:r w:rsidR="003E1583">
        <w:rPr>
          <w:highlight w:val="yellow"/>
        </w:rPr>
        <w:t xml:space="preserve"> CONTEXT, USAGE AND</w:t>
      </w:r>
      <w:r w:rsidRPr="00B167D0">
        <w:rPr>
          <w:highlight w:val="yellow"/>
        </w:rPr>
        <w:t xml:space="preserve"> RELATIONSHIP / USE OF HAVE</w:t>
      </w:r>
      <w:r w:rsidR="003E1583">
        <w:rPr>
          <w:highlight w:val="yellow"/>
        </w:rPr>
        <w:t xml:space="preserve"> (OTHERS??)</w:t>
      </w:r>
      <w:r w:rsidRPr="00B167D0">
        <w:rPr>
          <w:highlight w:val="yellow"/>
        </w:rPr>
        <w:t xml:space="preserve"> WITH TEP – END USER PERSPECTIVE)</w:t>
      </w:r>
    </w:p>
    <w:p w:rsidR="00323F52" w:rsidRDefault="00766D7F">
      <w:pPr>
        <w:pStyle w:val="Heading2"/>
      </w:pPr>
      <w:bookmarkStart w:id="19" w:name="__RefHeading__1390_291491422"/>
      <w:r>
        <w:t>Element Reference Model (non-normative)</w:t>
      </w:r>
      <w:bookmarkEnd w:id="19"/>
    </w:p>
    <w:p w:rsidR="003E1583" w:rsidRPr="003E1583" w:rsidRDefault="003E1583">
      <w:pPr>
        <w:rPr>
          <w:highlight w:val="yellow"/>
        </w:rPr>
      </w:pPr>
      <w:r w:rsidRPr="003E1583">
        <w:rPr>
          <w:highlight w:val="yellow"/>
        </w:rPr>
        <w:t>REX TO CLEAN UP DIRECT OUTPUT FROM ENTERPRISE ARCHITECT ELIMINATES DUPLICATIVE BOXES AND LINES, STRUCTURE…</w:t>
      </w:r>
    </w:p>
    <w:p w:rsidR="003E1583" w:rsidRDefault="003E1583">
      <w:r w:rsidRPr="003E1583">
        <w:rPr>
          <w:highlight w:val="yellow"/>
        </w:rPr>
        <w:t>PATTI TO REVIEW AND FURTHER SIMPLIFY IF NEEDED</w:t>
      </w:r>
    </w:p>
    <w:p w:rsidR="00323F52" w:rsidRDefault="003E1583">
      <w:r w:rsidRPr="003E1583">
        <w:rPr>
          <w:highlight w:val="yellow"/>
        </w:rPr>
        <w:t>(TIM?) TEXTUAL DESCRIPTION OF THE ERM – NOTATION AND CONTENT</w:t>
      </w:r>
    </w:p>
    <w:p w:rsidR="00323F52" w:rsidRDefault="00766D7F">
      <w:pPr>
        <w:pStyle w:val="Heading2"/>
      </w:pPr>
      <w:bookmarkStart w:id="20" w:name="__RefHeading__1392_291491422"/>
      <w:r>
        <w:t>Distribution of EDXL-TEP</w:t>
      </w:r>
      <w:bookmarkEnd w:id="20"/>
    </w:p>
    <w:p w:rsidR="00323F52" w:rsidRDefault="00766D7F">
      <w:r>
        <w:t xml:space="preserve">The primary purpose of the Emergency Data Exchange Language Tracking of Emergency Patients (EDXL-TEP) Specification is to provide </w:t>
      </w:r>
      <w:r>
        <w:rPr>
          <w:rFonts w:eastAsia="Arial, sans-serif"/>
          <w:color w:val="000000"/>
        </w:rPr>
        <w:t>an XML messaging standard for exchange of emergency client (patient) and tracking information during patient encounter through admission or release, tracking across the EMS emergency medical care continuum, as well as hospital evacuations and patient transfers</w:t>
      </w:r>
      <w:r>
        <w:t>. These EDXL-TEP messages are specifically d</w:t>
      </w:r>
      <w:r>
        <w:t>e</w:t>
      </w:r>
      <w:r>
        <w:t xml:space="preserve">signed as payloads of the EDXL-DE. Together EDXL-DE and EDXL-TEP are intended to </w:t>
      </w:r>
      <w:r>
        <w:rPr>
          <w:rFonts w:eastAsia="Arial, sans-serif"/>
          <w:color w:val="000000"/>
        </w:rPr>
        <w:t>providing real-time i</w:t>
      </w:r>
      <w:r>
        <w:rPr>
          <w:rFonts w:eastAsia="Arial, sans-serif"/>
          <w:color w:val="000000"/>
        </w:rPr>
        <w:t>n</w:t>
      </w:r>
      <w:r>
        <w:rPr>
          <w:rFonts w:eastAsia="Arial, sans-serif"/>
          <w:color w:val="000000"/>
        </w:rPr>
        <w:t>formation to responders, Emergency Management, coordinating organizations and care facilities in the chain of care and transport.</w:t>
      </w:r>
      <w:r>
        <w:t>. As set forth in Design Principles, routing and distribution information is found only in the EDXL-DE and not in the EDXL-TEP.</w:t>
      </w:r>
    </w:p>
    <w:p w:rsidR="00323F52" w:rsidRDefault="00766D7F">
      <w:r>
        <w:t>While the EDXL-TEP is designed to be an EDXL-DE payload, other routing mechanisms may be used to distribute EDXL-TEP content if the message metadata is provided in the same form or if the sender specifies specific recip</w:t>
      </w:r>
      <w:r>
        <w:t>i</w:t>
      </w:r>
      <w:r>
        <w:t>ents of the payload.</w:t>
      </w:r>
    </w:p>
    <w:p w:rsidR="00323F52" w:rsidRDefault="00766D7F">
      <w:pPr>
        <w:pStyle w:val="Heading3"/>
        <w:rPr>
          <w:lang w:val="fr-FR"/>
        </w:rPr>
      </w:pPr>
      <w:bookmarkStart w:id="21" w:name="__RefHeading__1394_291491422"/>
      <w:r>
        <w:rPr>
          <w:lang w:val="fr-FR"/>
        </w:rPr>
        <w:t xml:space="preserve">EDXL Distribution </w:t>
      </w:r>
      <w:proofErr w:type="spellStart"/>
      <w:r>
        <w:rPr>
          <w:lang w:val="fr-FR"/>
        </w:rPr>
        <w:t>Element</w:t>
      </w:r>
      <w:proofErr w:type="spellEnd"/>
      <w:r>
        <w:rPr>
          <w:lang w:val="fr-FR"/>
        </w:rPr>
        <w:t xml:space="preserve"> (EDXL-DE)</w:t>
      </w:r>
      <w:bookmarkEnd w:id="21"/>
    </w:p>
    <w:p w:rsidR="00F31D44" w:rsidRDefault="00F31D44">
      <w:pPr>
        <w:rPr>
          <w:highlight w:val="yellow"/>
          <w:lang w:val="fr-FR"/>
        </w:rPr>
      </w:pPr>
      <w:r>
        <w:rPr>
          <w:highlight w:val="yellow"/>
          <w:lang w:val="fr-FR"/>
        </w:rPr>
        <w:t>TEP DESIGNED TO BE ROUTED USING THE DE, BUT IF ANOTHER ROUTING/TRANSPORT M</w:t>
      </w:r>
      <w:r>
        <w:rPr>
          <w:highlight w:val="yellow"/>
          <w:lang w:val="fr-FR"/>
        </w:rPr>
        <w:t>E</w:t>
      </w:r>
      <w:r>
        <w:rPr>
          <w:highlight w:val="yellow"/>
          <w:lang w:val="fr-FR"/>
        </w:rPr>
        <w:t xml:space="preserve">CHANISM IS USED, </w:t>
      </w:r>
    </w:p>
    <w:p w:rsidR="003E1583" w:rsidRDefault="003E1583">
      <w:pPr>
        <w:rPr>
          <w:lang w:val="fr-FR"/>
        </w:rPr>
      </w:pPr>
      <w:r w:rsidRPr="003E1583">
        <w:rPr>
          <w:highlight w:val="yellow"/>
          <w:lang w:val="fr-FR"/>
        </w:rPr>
        <w:t xml:space="preserve">CHECK TEP DOCUMENTATION </w:t>
      </w:r>
      <w:r>
        <w:rPr>
          <w:highlight w:val="yellow"/>
          <w:lang w:val="fr-FR"/>
        </w:rPr>
        <w:t>DESCRIBING</w:t>
      </w:r>
      <w:r w:rsidRPr="003E1583">
        <w:rPr>
          <w:highlight w:val="yellow"/>
          <w:lang w:val="fr-FR"/>
        </w:rPr>
        <w:t xml:space="preserve"> DE ELEMENTS MEET TEP RQMTS …</w:t>
      </w:r>
      <w:r>
        <w:rPr>
          <w:lang w:val="fr-FR"/>
        </w:rPr>
        <w:t xml:space="preserve"> </w:t>
      </w:r>
      <w:r w:rsidRPr="003E1583">
        <w:rPr>
          <w:highlight w:val="yellow"/>
          <w:lang w:val="fr-FR"/>
        </w:rPr>
        <w:t>NON-NORMATIVE</w:t>
      </w:r>
    </w:p>
    <w:p w:rsidR="0054446B" w:rsidRDefault="0054446B">
      <w:pPr>
        <w:rPr>
          <w:lang w:val="fr-FR"/>
        </w:rPr>
      </w:pPr>
      <w:r w:rsidRPr="0054446B">
        <w:rPr>
          <w:highlight w:val="yellow"/>
          <w:lang w:val="fr-FR"/>
        </w:rPr>
        <w:t>NOTE: DATA DICTORY REFERRES TO REQUIRED ELEMENTS IN ROUTING / TRANSPORT M</w:t>
      </w:r>
      <w:r w:rsidRPr="0054446B">
        <w:rPr>
          <w:highlight w:val="yellow"/>
          <w:lang w:val="fr-FR"/>
        </w:rPr>
        <w:t>E</w:t>
      </w:r>
      <w:r w:rsidRPr="0054446B">
        <w:rPr>
          <w:highlight w:val="yellow"/>
          <w:lang w:val="fr-FR"/>
        </w:rPr>
        <w:t>CHANISM NEEDED IF DE NOT USED.  PREFER DE, BUT IF NOT USED, THEN HERE IS WHAT IS R</w:t>
      </w:r>
      <w:r w:rsidRPr="0054446B">
        <w:rPr>
          <w:highlight w:val="yellow"/>
          <w:lang w:val="fr-FR"/>
        </w:rPr>
        <w:t>E</w:t>
      </w:r>
      <w:r w:rsidRPr="0054446B">
        <w:rPr>
          <w:highlight w:val="yellow"/>
          <w:lang w:val="fr-FR"/>
        </w:rPr>
        <w:t>QUIRED…  SEE RM AND SITREP</w:t>
      </w:r>
    </w:p>
    <w:p w:rsidR="00F31D44" w:rsidRDefault="00F31D44">
      <w:pPr>
        <w:rPr>
          <w:lang w:val="fr-FR"/>
        </w:rPr>
      </w:pPr>
      <w:r w:rsidRPr="001B6CB0">
        <w:rPr>
          <w:highlight w:val="yellow"/>
          <w:lang w:val="fr-FR"/>
        </w:rPr>
        <w:t xml:space="preserve">IF NOT HAPPY WITH HOW HANDLED IN SITREP </w:t>
      </w:r>
      <w:r w:rsidR="001B6CB0" w:rsidRPr="001B6CB0">
        <w:rPr>
          <w:highlight w:val="yellow"/>
          <w:lang w:val="fr-FR"/>
        </w:rPr>
        <w:t>AND</w:t>
      </w:r>
      <w:r w:rsidRPr="001B6CB0">
        <w:rPr>
          <w:highlight w:val="yellow"/>
          <w:lang w:val="fr-FR"/>
        </w:rPr>
        <w:t xml:space="preserve"> RM, THEN </w:t>
      </w:r>
      <w:r w:rsidR="001B6CB0" w:rsidRPr="001B6CB0">
        <w:rPr>
          <w:highlight w:val="yellow"/>
          <w:lang w:val="fr-FR"/>
        </w:rPr>
        <w:t>CONSIDER A SUB-SECTION IN THE DATA DICTIONARY WHICH REFERS TO ROUTING ELEMENTS REQUIRED FOR TEP</w:t>
      </w:r>
    </w:p>
    <w:p w:rsidR="00323F52" w:rsidRDefault="00766D7F">
      <w:pPr>
        <w:rPr>
          <w:lang w:val="fr-FR"/>
        </w:rPr>
      </w:pPr>
      <w:r>
        <w:rPr>
          <w:lang w:val="fr-FR"/>
        </w:rPr>
        <w:t xml:space="preserve">EDXL Distribution </w:t>
      </w:r>
      <w:proofErr w:type="spellStart"/>
      <w:r>
        <w:rPr>
          <w:lang w:val="fr-FR"/>
        </w:rPr>
        <w:t>Element</w:t>
      </w:r>
      <w:proofErr w:type="spellEnd"/>
      <w:r>
        <w:rPr>
          <w:lang w:val="fr-FR"/>
        </w:rPr>
        <w:t xml:space="preserve"> (EDXL-DE) V 2.0 </w:t>
      </w:r>
      <w:proofErr w:type="spellStart"/>
      <w:r>
        <w:rPr>
          <w:lang w:val="fr-FR"/>
        </w:rPr>
        <w:t>was</w:t>
      </w:r>
      <w:proofErr w:type="spellEnd"/>
      <w:r>
        <w:rPr>
          <w:lang w:val="fr-FR"/>
        </w:rPr>
        <w:t xml:space="preserve"> </w:t>
      </w:r>
      <w:proofErr w:type="spellStart"/>
      <w:r>
        <w:rPr>
          <w:lang w:val="fr-FR"/>
        </w:rPr>
        <w:t>approved</w:t>
      </w:r>
      <w:proofErr w:type="spellEnd"/>
      <w:r>
        <w:rPr>
          <w:lang w:val="fr-FR"/>
        </w:rPr>
        <w:t xml:space="preserve"> as an OASIS standard in … 2012. The EDXL-DE </w:t>
      </w:r>
      <w:proofErr w:type="spellStart"/>
      <w:r>
        <w:rPr>
          <w:lang w:val="fr-FR"/>
        </w:rPr>
        <w:t>provides</w:t>
      </w:r>
      <w:proofErr w:type="spellEnd"/>
      <w:r>
        <w:rPr>
          <w:lang w:val="fr-FR"/>
        </w:rPr>
        <w:t xml:space="preserve"> a flexible message-distribution </w:t>
      </w:r>
      <w:proofErr w:type="spellStart"/>
      <w:r>
        <w:rPr>
          <w:lang w:val="fr-FR"/>
        </w:rPr>
        <w:t>framework</w:t>
      </w:r>
      <w:proofErr w:type="spellEnd"/>
      <w:r>
        <w:rPr>
          <w:lang w:val="fr-FR"/>
        </w:rPr>
        <w:t xml:space="preserve"> for data sharing </w:t>
      </w:r>
      <w:proofErr w:type="spellStart"/>
      <w:r>
        <w:rPr>
          <w:lang w:val="fr-FR"/>
        </w:rPr>
        <w:t>among</w:t>
      </w:r>
      <w:proofErr w:type="spellEnd"/>
      <w:r>
        <w:rPr>
          <w:lang w:val="fr-FR"/>
        </w:rPr>
        <w:t xml:space="preserve"> emergency information </w:t>
      </w:r>
      <w:proofErr w:type="spellStart"/>
      <w:r>
        <w:rPr>
          <w:lang w:val="fr-FR"/>
        </w:rPr>
        <w:t>systems</w:t>
      </w:r>
      <w:proofErr w:type="spellEnd"/>
      <w:r>
        <w:rPr>
          <w:lang w:val="fr-FR"/>
        </w:rPr>
        <w:t xml:space="preserve"> </w:t>
      </w:r>
      <w:proofErr w:type="spellStart"/>
      <w:r>
        <w:rPr>
          <w:lang w:val="fr-FR"/>
        </w:rPr>
        <w:t>using</w:t>
      </w:r>
      <w:proofErr w:type="spellEnd"/>
      <w:r>
        <w:rPr>
          <w:lang w:val="fr-FR"/>
        </w:rPr>
        <w:t xml:space="preserve"> XML. The EDXL-DE </w:t>
      </w:r>
      <w:proofErr w:type="spellStart"/>
      <w:r>
        <w:rPr>
          <w:lang w:val="fr-FR"/>
        </w:rPr>
        <w:t>may</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used</w:t>
      </w:r>
      <w:proofErr w:type="spellEnd"/>
      <w:r>
        <w:rPr>
          <w:lang w:val="fr-FR"/>
        </w:rPr>
        <w:t xml:space="preserve"> over </w:t>
      </w:r>
      <w:proofErr w:type="spellStart"/>
      <w:r>
        <w:rPr>
          <w:lang w:val="fr-FR"/>
        </w:rPr>
        <w:t>any</w:t>
      </w:r>
      <w:proofErr w:type="spellEnd"/>
      <w:r>
        <w:rPr>
          <w:lang w:val="fr-FR"/>
        </w:rPr>
        <w:t xml:space="preserve"> data transmission system, </w:t>
      </w:r>
      <w:proofErr w:type="spellStart"/>
      <w:r>
        <w:rPr>
          <w:lang w:val="fr-FR"/>
        </w:rPr>
        <w:t>including</w:t>
      </w:r>
      <w:proofErr w:type="spellEnd"/>
      <w:r>
        <w:rPr>
          <w:lang w:val="fr-FR"/>
        </w:rPr>
        <w:t xml:space="preserve">, but not </w:t>
      </w:r>
      <w:proofErr w:type="spellStart"/>
      <w:r>
        <w:rPr>
          <w:lang w:val="fr-FR"/>
        </w:rPr>
        <w:t>limited</w:t>
      </w:r>
      <w:proofErr w:type="spellEnd"/>
      <w:r>
        <w:rPr>
          <w:lang w:val="fr-FR"/>
        </w:rPr>
        <w:t xml:space="preserve"> to, the SOAP HTTP </w:t>
      </w:r>
      <w:proofErr w:type="spellStart"/>
      <w:r>
        <w:rPr>
          <w:lang w:val="fr-FR"/>
        </w:rPr>
        <w:t>binding</w:t>
      </w:r>
      <w:proofErr w:type="spellEnd"/>
      <w:r>
        <w:rPr>
          <w:lang w:val="fr-FR"/>
        </w:rPr>
        <w:t>.</w:t>
      </w:r>
    </w:p>
    <w:p w:rsidR="00323F52" w:rsidRDefault="00766D7F">
      <w:r>
        <w:t>The primary purpose of the Distribution Element is to facilitate the routing of emergency messages to recipients. The Distribution Element may be thought of as a container. It provides the information to route "payload" message sets by including key routing information such as distribution type, geography, incident, and sender/recipient IDs. Messages may be distributed to specific recipients, to recipients in a geographic area, or based on codes such as agency type (police, fire, etc.).</w:t>
      </w:r>
    </w:p>
    <w:p w:rsidR="00323F52" w:rsidRDefault="00766D7F">
      <w:r>
        <w:t>The following subsections describe practitioner requirements which are met through the EDXL-Distribution El</w:t>
      </w:r>
      <w:r>
        <w:t>e</w:t>
      </w:r>
      <w:r>
        <w:t>ment (DE)</w:t>
      </w:r>
    </w:p>
    <w:p w:rsidR="00323F52" w:rsidRDefault="00766D7F">
      <w:pPr>
        <w:pStyle w:val="Heading4"/>
      </w:pPr>
      <w:bookmarkStart w:id="22" w:name="__RefHeading__1396_291491422"/>
      <w:r>
        <w:t xml:space="preserve">Identifying </w:t>
      </w:r>
      <w:proofErr w:type="spellStart"/>
      <w:r>
        <w:t>MessageType</w:t>
      </w:r>
      <w:bookmarkEnd w:id="22"/>
      <w:proofErr w:type="spellEnd"/>
    </w:p>
    <w:p w:rsidR="00323F52" w:rsidRDefault="00766D7F">
      <w:pPr>
        <w:pStyle w:val="Textbody"/>
      </w:pPr>
      <w:r>
        <w:t>The Requirement for identifying the “Message Type” of the EDXL-TEP is handled by the &lt;distributio</w:t>
      </w:r>
      <w:r>
        <w:t>n</w:t>
      </w:r>
      <w:r>
        <w:t>Type&gt; element of EDXL-DE v2.0.</w:t>
      </w:r>
    </w:p>
    <w:p w:rsidR="00323F52" w:rsidRDefault="00766D7F">
      <w:pPr>
        <w:pStyle w:val="Textbody"/>
        <w:spacing w:after="0"/>
      </w:pPr>
      <w:r>
        <w:t>The &lt;distributionType&gt; element defines the function of the message and this functional name for the EDXL-TEP “Message Type” takes the form of an XML enumeration where the value must be one of:</w:t>
      </w:r>
    </w:p>
    <w:p w:rsidR="00323F52" w:rsidRDefault="00766D7F">
      <w:pPr>
        <w:pStyle w:val="Textbody"/>
      </w:pPr>
      <w:r>
        <w:rPr>
          <w:rFonts w:ascii="Wingdings" w:hAnsi="Wingdings"/>
        </w:rPr>
        <w:t></w:t>
      </w:r>
      <w:r>
        <w:rPr>
          <w:rFonts w:ascii="Wingdings" w:hAnsi="Wingdings"/>
        </w:rPr>
        <w:t></w:t>
      </w:r>
      <w:r>
        <w:rPr>
          <w:rFonts w:ascii="Wingdings" w:hAnsi="Wingdings"/>
        </w:rPr>
        <w:t></w:t>
      </w:r>
      <w:r>
        <w:t>Report - New information regarding an incident or activity. (??)</w:t>
      </w:r>
    </w:p>
    <w:p w:rsidR="00323F52" w:rsidRDefault="00766D7F">
      <w:pPr>
        <w:pStyle w:val="Textbody"/>
      </w:pPr>
      <w:r>
        <w:rPr>
          <w:rFonts w:ascii="Wingdings" w:hAnsi="Wingdings"/>
        </w:rPr>
        <w:t></w:t>
      </w:r>
      <w:r>
        <w:rPr>
          <w:rFonts w:ascii="Wingdings" w:hAnsi="Wingdings"/>
        </w:rPr>
        <w:t></w:t>
      </w:r>
      <w:r>
        <w:rPr>
          <w:rFonts w:ascii="Wingdings" w:hAnsi="Wingdings"/>
        </w:rPr>
        <w:t></w:t>
      </w:r>
      <w:r>
        <w:t>Update - Updated information superseding a previous message.</w:t>
      </w:r>
    </w:p>
    <w:p w:rsidR="00323F52" w:rsidRDefault="00766D7F">
      <w:pPr>
        <w:pStyle w:val="Textbody"/>
      </w:pPr>
      <w:r>
        <w:rPr>
          <w:rFonts w:ascii="Wingdings" w:hAnsi="Wingdings"/>
        </w:rPr>
        <w:t></w:t>
      </w:r>
      <w:r>
        <w:rPr>
          <w:rFonts w:ascii="Wingdings" w:hAnsi="Wingdings"/>
        </w:rPr>
        <w:t></w:t>
      </w:r>
      <w:r>
        <w:rPr>
          <w:rFonts w:ascii="Wingdings" w:hAnsi="Wingdings"/>
        </w:rPr>
        <w:t></w:t>
      </w:r>
      <w:r>
        <w:t>Cancel - A cancellation or revocation of a previous message.</w:t>
      </w:r>
    </w:p>
    <w:p w:rsidR="00323F52" w:rsidRDefault="00766D7F">
      <w:pPr>
        <w:pStyle w:val="Textbody"/>
      </w:pPr>
      <w:r>
        <w:rPr>
          <w:rFonts w:ascii="Wingdings" w:hAnsi="Wingdings"/>
        </w:rPr>
        <w:t></w:t>
      </w:r>
      <w:r>
        <w:rPr>
          <w:rFonts w:ascii="Wingdings" w:hAnsi="Wingdings"/>
        </w:rPr>
        <w:t></w:t>
      </w:r>
      <w:r>
        <w:rPr>
          <w:rFonts w:ascii="Wingdings" w:hAnsi="Wingdings"/>
        </w:rPr>
        <w:t></w:t>
      </w:r>
      <w:r>
        <w:t>Request - A request for resources, information or action.</w:t>
      </w:r>
    </w:p>
    <w:p w:rsidR="00323F52" w:rsidRDefault="00766D7F">
      <w:pPr>
        <w:pStyle w:val="Textbody"/>
      </w:pPr>
      <w:r>
        <w:rPr>
          <w:rFonts w:ascii="Wingdings" w:hAnsi="Wingdings"/>
        </w:rPr>
        <w:t></w:t>
      </w:r>
      <w:r>
        <w:rPr>
          <w:rFonts w:ascii="Wingdings" w:hAnsi="Wingdings"/>
        </w:rPr>
        <w:t></w:t>
      </w:r>
      <w:r>
        <w:rPr>
          <w:rFonts w:ascii="Wingdings" w:hAnsi="Wingdings"/>
        </w:rPr>
        <w:t></w:t>
      </w:r>
      <w:r>
        <w:t>Response - A response to a previous request.</w:t>
      </w:r>
    </w:p>
    <w:p w:rsidR="00323F52" w:rsidRDefault="00766D7F">
      <w:pPr>
        <w:pStyle w:val="Textbody"/>
      </w:pPr>
      <w:r>
        <w:rPr>
          <w:rFonts w:ascii="Wingdings" w:hAnsi="Wingdings"/>
        </w:rPr>
        <w:t></w:t>
      </w:r>
      <w:r>
        <w:rPr>
          <w:rFonts w:ascii="Wingdings" w:hAnsi="Wingdings"/>
        </w:rPr>
        <w:t></w:t>
      </w:r>
      <w:r>
        <w:rPr>
          <w:rFonts w:ascii="Wingdings" w:hAnsi="Wingdings"/>
        </w:rPr>
        <w:t></w:t>
      </w:r>
      <w:r>
        <w:t>Ack - Acknowledgment of receipt of an earlier message.</w:t>
      </w:r>
    </w:p>
    <w:p w:rsidR="00323F52" w:rsidRDefault="00766D7F">
      <w:pPr>
        <w:pStyle w:val="Textbody"/>
      </w:pPr>
      <w:r>
        <w:rPr>
          <w:rFonts w:ascii="Wingdings" w:hAnsi="Wingdings"/>
        </w:rPr>
        <w:t></w:t>
      </w:r>
      <w:r>
        <w:rPr>
          <w:rFonts w:ascii="Wingdings" w:hAnsi="Wingdings"/>
        </w:rPr>
        <w:t></w:t>
      </w:r>
      <w:r>
        <w:rPr>
          <w:rFonts w:ascii="Wingdings" w:hAnsi="Wingdings"/>
        </w:rPr>
        <w:t></w:t>
      </w:r>
      <w:r>
        <w:t>Error - Rejection of an earlier message (for technical reasons).</w:t>
      </w:r>
    </w:p>
    <w:p w:rsidR="00323F52" w:rsidRDefault="00323F52"/>
    <w:p w:rsidR="00323F52" w:rsidRDefault="00766D7F">
      <w:pPr>
        <w:pStyle w:val="Heading4"/>
      </w:pPr>
      <w:bookmarkStart w:id="23" w:name="__RefHeading__1398_291491422"/>
      <w:r>
        <w:t>Identifying Message Sender</w:t>
      </w:r>
      <w:bookmarkEnd w:id="23"/>
    </w:p>
    <w:p w:rsidR="00323F52" w:rsidRDefault="00766D7F">
      <w:pPr>
        <w:pStyle w:val="Textbody"/>
      </w:pPr>
      <w:r>
        <w:t>The Requirement for identifying the “Message Sender” of the EDXL-SitRep is handled by one or two el</w:t>
      </w:r>
      <w:r>
        <w:t>e</w:t>
      </w:r>
      <w:r>
        <w:t>ments of EDXL-DE v2.0.The EDXL-DE v2.0 &lt;senderID&gt; or an element with the identical definition and properties MUST be present in the EDXL-DE or other routing mechanism used to distribute an EDXL-TEP message. The &lt;senderRole&gt; or an element with the identical definition and properties MAY be present.</w:t>
      </w:r>
    </w:p>
    <w:p w:rsidR="00323F52" w:rsidRDefault="00766D7F">
      <w:pPr>
        <w:pStyle w:val="Textbody"/>
      </w:pPr>
      <w:r>
        <w:t xml:space="preserve">&lt;senderRole&gt; is expressed in an XML </w:t>
      </w:r>
      <w:proofErr w:type="spellStart"/>
      <w:r>
        <w:t>ValueList</w:t>
      </w:r>
      <w:proofErr w:type="spellEnd"/>
      <w:r>
        <w:t xml:space="preserve"> and Value.</w:t>
      </w:r>
    </w:p>
    <w:p w:rsidR="00323F52" w:rsidRDefault="00766D7F">
      <w:pPr>
        <w:pStyle w:val="Textbody"/>
      </w:pPr>
      <w:r>
        <w:rPr>
          <w:rFonts w:ascii="Wingdings" w:hAnsi="Wingdings"/>
        </w:rPr>
        <w:t></w:t>
      </w:r>
      <w:r>
        <w:rPr>
          <w:rFonts w:ascii="Wingdings" w:hAnsi="Wingdings"/>
        </w:rPr>
        <w:t></w:t>
      </w:r>
      <w:r>
        <w:rPr>
          <w:rFonts w:ascii="Wingdings" w:hAnsi="Wingdings"/>
        </w:rPr>
        <w:t></w:t>
      </w:r>
      <w:r>
        <w:t>The list and associated value(s) is in the form:</w:t>
      </w:r>
    </w:p>
    <w:p w:rsidR="00323F52" w:rsidRDefault="00766D7F">
      <w:pPr>
        <w:pStyle w:val="Textbody"/>
        <w:spacing w:after="0"/>
      </w:pPr>
      <w:r>
        <w:t> </w:t>
      </w:r>
    </w:p>
    <w:p w:rsidR="00323F52" w:rsidRDefault="00766D7F">
      <w:pPr>
        <w:pStyle w:val="Textbody"/>
        <w:pBdr>
          <w:top w:val="single" w:sz="8" w:space="1" w:color="000000"/>
          <w:bottom w:val="single" w:sz="8" w:space="1" w:color="000000"/>
        </w:pBdr>
        <w:spacing w:after="0"/>
      </w:pPr>
      <w:r>
        <w:t>   &lt;senderRole&gt;</w:t>
      </w:r>
    </w:p>
    <w:p w:rsidR="00323F52" w:rsidRDefault="00766D7F">
      <w:pPr>
        <w:pStyle w:val="Textbody"/>
        <w:pBdr>
          <w:top w:val="single" w:sz="8" w:space="1" w:color="000000"/>
          <w:bottom w:val="single" w:sz="8" w:space="1" w:color="000000"/>
        </w:pBdr>
        <w:spacing w:after="0"/>
      </w:pPr>
      <w:r>
        <w:t>      &lt;</w:t>
      </w:r>
      <w:proofErr w:type="spellStart"/>
      <w:r>
        <w:t>valueListUrn</w:t>
      </w:r>
      <w:proofErr w:type="spellEnd"/>
      <w:r>
        <w:t>&gt;</w:t>
      </w:r>
      <w:proofErr w:type="spellStart"/>
      <w:r>
        <w:t>valueListUrn</w:t>
      </w:r>
      <w:proofErr w:type="spellEnd"/>
      <w:r>
        <w:t>&lt;/</w:t>
      </w:r>
      <w:proofErr w:type="spellStart"/>
      <w:r>
        <w:t>valueListUrn</w:t>
      </w:r>
      <w:proofErr w:type="spellEnd"/>
      <w:r>
        <w:t>&gt;</w:t>
      </w:r>
    </w:p>
    <w:p w:rsidR="00323F52" w:rsidRDefault="00766D7F">
      <w:pPr>
        <w:pStyle w:val="Textbody"/>
        <w:pBdr>
          <w:top w:val="single" w:sz="8" w:space="1" w:color="000000"/>
          <w:bottom w:val="single" w:sz="8" w:space="1" w:color="000000"/>
        </w:pBdr>
        <w:spacing w:after="0"/>
      </w:pPr>
      <w:r>
        <w:t>      &lt;value&gt;value&lt;/value&gt;</w:t>
      </w:r>
    </w:p>
    <w:p w:rsidR="00323F52" w:rsidRDefault="00766D7F">
      <w:pPr>
        <w:pStyle w:val="Textbody"/>
        <w:pBdr>
          <w:top w:val="single" w:sz="8" w:space="1" w:color="000000"/>
          <w:bottom w:val="single" w:sz="8" w:space="1" w:color="000000"/>
        </w:pBdr>
        <w:spacing w:after="0"/>
      </w:pPr>
      <w:r>
        <w:t>   &lt;/senderRole&gt;</w:t>
      </w:r>
    </w:p>
    <w:p w:rsidR="00323F52" w:rsidRDefault="00766D7F">
      <w:pPr>
        <w:pStyle w:val="Textbody"/>
        <w:spacing w:after="0"/>
      </w:pPr>
      <w:r>
        <w:t> </w:t>
      </w:r>
    </w:p>
    <w:p w:rsidR="00323F52" w:rsidRDefault="00766D7F">
      <w:pPr>
        <w:pStyle w:val="Textbody"/>
      </w:pPr>
      <w:r>
        <w:rPr>
          <w:rFonts w:ascii="Wingdings" w:hAnsi="Wingdings"/>
        </w:rPr>
        <w:t></w:t>
      </w:r>
      <w:r>
        <w:rPr>
          <w:rFonts w:ascii="Wingdings" w:hAnsi="Wingdings"/>
        </w:rPr>
        <w:t></w:t>
      </w:r>
      <w:r>
        <w:rPr>
          <w:rFonts w:ascii="Wingdings" w:hAnsi="Wingdings"/>
        </w:rPr>
        <w:t></w:t>
      </w:r>
      <w:r>
        <w:t>Where the content of &lt;</w:t>
      </w:r>
      <w:proofErr w:type="spellStart"/>
      <w:r>
        <w:t>valueListUrn</w:t>
      </w:r>
      <w:proofErr w:type="spellEnd"/>
      <w:r>
        <w:t>&gt; is the Uniform Resource Name of a published list of values and definitions, and the content of &lt;value&gt; is a string (which may represent a number) denoting the value i</w:t>
      </w:r>
      <w:r>
        <w:t>t</w:t>
      </w:r>
      <w:r>
        <w:t>self.</w:t>
      </w:r>
    </w:p>
    <w:p w:rsidR="00323F52" w:rsidRDefault="00766D7F">
      <w:pPr>
        <w:pStyle w:val="Textbody"/>
      </w:pPr>
      <w:r>
        <w:rPr>
          <w:rFonts w:ascii="Arial, sans-serif" w:hAnsi="Arial, sans-serif"/>
        </w:rPr>
        <w:t>Multiple instances of the &lt;value&gt;, MAY occur with a single &lt;</w:t>
      </w:r>
      <w:proofErr w:type="spellStart"/>
      <w:r>
        <w:rPr>
          <w:rFonts w:ascii="Arial, sans-serif" w:hAnsi="Arial, sans-serif"/>
        </w:rPr>
        <w:t>valueListUrn</w:t>
      </w:r>
      <w:proofErr w:type="spellEnd"/>
      <w:r>
        <w:rPr>
          <w:rFonts w:ascii="Arial, sans-serif" w:hAnsi="Arial, sans-serif"/>
        </w:rPr>
        <w:t>&gt; within the &lt;senderRole&gt; container.</w:t>
      </w:r>
    </w:p>
    <w:p w:rsidR="00323F52" w:rsidRDefault="00766D7F">
      <w:pPr>
        <w:pStyle w:val="Heading4"/>
      </w:pPr>
      <w:bookmarkStart w:id="24" w:name="__RefHeading__1400_291491422"/>
      <w:proofErr w:type="spellStart"/>
      <w:r>
        <w:t>DateTime</w:t>
      </w:r>
      <w:proofErr w:type="spellEnd"/>
      <w:r>
        <w:t xml:space="preserve"> Message Sent</w:t>
      </w:r>
      <w:bookmarkEnd w:id="24"/>
    </w:p>
    <w:p w:rsidR="00323F52" w:rsidRDefault="00766D7F">
      <w:r>
        <w:t>The EDXL-DE v1.0 &lt;dateTimeSent&gt; element is used to established the date and time the EDXL-DE package co</w:t>
      </w:r>
      <w:r>
        <w:t>n</w:t>
      </w:r>
      <w:r>
        <w:t>tained the EDXL-SitRep message is sent.</w:t>
      </w:r>
    </w:p>
    <w:p w:rsidR="00323F52" w:rsidRDefault="00766D7F">
      <w:r>
        <w:rPr>
          <w:rFonts w:ascii="Wingdings" w:hAnsi="Wingdings"/>
        </w:rPr>
        <w:t></w:t>
      </w:r>
      <w:r>
        <w:rPr>
          <w:rFonts w:ascii="Wingdings" w:hAnsi="Wingdings"/>
        </w:rPr>
        <w:t></w:t>
      </w:r>
      <w:r>
        <w:rPr>
          <w:rFonts w:ascii="Wingdings" w:hAnsi="Wingdings"/>
        </w:rPr>
        <w:t></w:t>
      </w:r>
      <w:proofErr w:type="spellStart"/>
      <w:r>
        <w:t>DateTime</w:t>
      </w:r>
      <w:proofErr w:type="spellEnd"/>
      <w:r>
        <w:t xml:space="preserve"> elements are represented consistent with previous EDXL standards (24-hour clock):</w:t>
      </w:r>
    </w:p>
    <w:p w:rsidR="00323F52" w:rsidRDefault="00766D7F">
      <w:r>
        <w:rPr>
          <w:rFonts w:ascii="Wingdings" w:hAnsi="Wingdings"/>
        </w:rPr>
        <w:t></w:t>
      </w:r>
      <w:r>
        <w:rPr>
          <w:rFonts w:ascii="Wingdings" w:hAnsi="Wingdings"/>
        </w:rPr>
        <w:t></w:t>
      </w:r>
      <w:r>
        <w:rPr>
          <w:rFonts w:ascii="Wingdings" w:hAnsi="Wingdings"/>
        </w:rPr>
        <w:t></w:t>
      </w:r>
      <w:r>
        <w:t>The date and time is represented in [</w:t>
      </w:r>
      <w:proofErr w:type="spellStart"/>
      <w:r>
        <w:t>DateTime</w:t>
      </w:r>
      <w:proofErr w:type="spellEnd"/>
      <w:r>
        <w:t>] format (e. g., "2008-06-11T16:49:00-07:00" for 11 June 2008 at 16:49 PDT).</w:t>
      </w:r>
    </w:p>
    <w:p w:rsidR="00323F52" w:rsidRDefault="00766D7F">
      <w:r>
        <w:t>Alphabetic time zone designators such as “Z” MUST NOT be used. The time zone for UTC MUST be represented as “-00:00” or “+00:00</w:t>
      </w:r>
    </w:p>
    <w:p w:rsidR="00323F52" w:rsidRDefault="00323F52"/>
    <w:p w:rsidR="00323F52" w:rsidRDefault="00766D7F">
      <w:r>
        <w:t>other …</w:t>
      </w:r>
    </w:p>
    <w:p w:rsidR="00323F52" w:rsidRDefault="00323F52"/>
    <w:p w:rsidR="00323F52" w:rsidRDefault="00766D7F">
      <w:pPr>
        <w:pStyle w:val="Heading2"/>
      </w:pPr>
      <w:r>
        <w:t>Attachments</w:t>
      </w:r>
    </w:p>
    <w:p w:rsidR="00323F52" w:rsidRDefault="00323F52"/>
    <w:p w:rsidR="00323F52" w:rsidRDefault="00323F52"/>
    <w:p w:rsidR="00323F52" w:rsidRDefault="00766D7F">
      <w:pPr>
        <w:pStyle w:val="Heading2"/>
      </w:pPr>
      <w:bookmarkStart w:id="25" w:name="__RefHeading__1402_291491422"/>
      <w:r>
        <w:t>TEP Elements</w:t>
      </w:r>
      <w:bookmarkEnd w:id="25"/>
    </w:p>
    <w:p w:rsidR="00323F52" w:rsidRDefault="00323F52">
      <w:pPr>
        <w:rPr>
          <w:sz w:val="28"/>
          <w:szCs w:val="28"/>
        </w:rPr>
      </w:pPr>
    </w:p>
    <w:p w:rsidR="00323F52" w:rsidRDefault="00323F52">
      <w:pPr>
        <w:rPr>
          <w:sz w:val="28"/>
          <w:szCs w:val="28"/>
        </w:rPr>
      </w:pPr>
    </w:p>
    <w:p w:rsidR="00323F52" w:rsidRDefault="00766D7F">
      <w:pPr>
        <w:pStyle w:val="Heading1"/>
      </w:pPr>
      <w:bookmarkStart w:id="26" w:name="__RefHeading__1404_291491422"/>
      <w:r>
        <w:t>Data Dictionary (normative)</w:t>
      </w:r>
      <w:bookmarkEnd w:id="26"/>
    </w:p>
    <w:p w:rsidR="00323F52" w:rsidRDefault="00766D7F">
      <w:r>
        <w:t>The data dictionary is intended to provide detailed definition of each element contained in the EDXL-TEP stan</w:t>
      </w:r>
      <w:r>
        <w:t>d</w:t>
      </w:r>
      <w:r>
        <w:t>ard.  Where discrepancies may exist between this dictionary, the Element Reference Model (ERM), and the norm</w:t>
      </w:r>
      <w:r>
        <w:t>a</w:t>
      </w:r>
      <w:r>
        <w:t>tive schema, the normative schema shall take precedence.</w:t>
      </w:r>
    </w:p>
    <w:p w:rsidR="00323F52" w:rsidRDefault="00766D7F">
      <w:r>
        <w:rPr>
          <w:b/>
          <w:u w:val="single"/>
        </w:rPr>
        <w:t>Element</w:t>
      </w:r>
      <w:r>
        <w:t xml:space="preserve"> / </w:t>
      </w:r>
      <w:proofErr w:type="spellStart"/>
      <w:r>
        <w:rPr>
          <w:b/>
          <w:bCs/>
        </w:rPr>
        <w:t>ElementType</w:t>
      </w:r>
      <w:proofErr w:type="spellEnd"/>
      <w:r>
        <w:t>– Name of the element.</w:t>
      </w:r>
    </w:p>
    <w:p w:rsidR="00323F52" w:rsidRDefault="00766D7F">
      <w:pPr>
        <w:pStyle w:val="Textbody"/>
      </w:pPr>
      <w:r>
        <w:rPr>
          <w:b/>
          <w:u w:val="single"/>
        </w:rPr>
        <w:t>Type</w:t>
      </w:r>
      <w:r>
        <w:t xml:space="preserve"> – Type or format of the element.</w:t>
      </w:r>
    </w:p>
    <w:p w:rsidR="00323F52" w:rsidRDefault="00766D7F">
      <w:pPr>
        <w:pStyle w:val="Textbody"/>
      </w:pPr>
      <w:commentRangeStart w:id="27"/>
      <w:r>
        <w:rPr>
          <w:b/>
          <w:u w:val="single"/>
        </w:rPr>
        <w:commentReference w:id="27"/>
      </w:r>
      <w:commentRangeEnd w:id="27"/>
      <w:r>
        <w:rPr>
          <w:b/>
          <w:u w:val="single"/>
        </w:rPr>
        <w:t>Usage</w:t>
      </w:r>
      <w:r>
        <w:t xml:space="preserve"> – Optionality and Cardinality. </w:t>
      </w:r>
    </w:p>
    <w:p w:rsidR="00323F52" w:rsidRDefault="00766D7F">
      <w:pPr>
        <w:pStyle w:val="Textbody"/>
      </w:pPr>
      <w:r>
        <w:t>If no optionality specified, then the element is “Optional”.</w:t>
      </w:r>
    </w:p>
    <w:p w:rsidR="00323F52" w:rsidRDefault="00766D7F">
      <w:pPr>
        <w:pStyle w:val="Textbody"/>
      </w:pPr>
      <w:r>
        <w:t xml:space="preserve">If no Cardinality specified, the element </w:t>
      </w:r>
      <w:r>
        <w:rPr>
          <w:shd w:val="clear" w:color="auto" w:fill="FFFF00"/>
        </w:rPr>
        <w:t>“</w:t>
      </w:r>
      <w:r>
        <w:t>MUST be used once and only once”</w:t>
      </w:r>
    </w:p>
    <w:p w:rsidR="00323F52" w:rsidRDefault="00766D7F">
      <w:pPr>
        <w:pStyle w:val="Textbody"/>
      </w:pPr>
      <w:r>
        <w:rPr>
          <w:b/>
          <w:u w:val="single"/>
        </w:rPr>
        <w:t>Definition</w:t>
      </w:r>
      <w:r>
        <w:t xml:space="preserve"> – Definition of the element.</w:t>
      </w:r>
    </w:p>
    <w:p w:rsidR="00323F52" w:rsidRDefault="00766D7F">
      <w:pPr>
        <w:pStyle w:val="Textbody"/>
      </w:pPr>
      <w:r>
        <w:rPr>
          <w:b/>
          <w:u w:val="single"/>
        </w:rPr>
        <w:t>Comments</w:t>
      </w:r>
      <w:r>
        <w:t xml:space="preserve"> – Additional comments or examples to add clarity.</w:t>
      </w:r>
    </w:p>
    <w:p w:rsidR="00323F52" w:rsidRDefault="00766D7F">
      <w:pPr>
        <w:pStyle w:val="Textbody"/>
      </w:pPr>
      <w:r>
        <w:rPr>
          <w:b/>
          <w:u w:val="single"/>
        </w:rPr>
        <w:t>Constraints</w:t>
      </w:r>
      <w:r>
        <w:t xml:space="preserve"> – Limits imposed on the element.  Also notes the container or “parent” to which the element belongs.</w:t>
      </w:r>
    </w:p>
    <w:p w:rsidR="00323F52" w:rsidRDefault="00766D7F">
      <w:pPr>
        <w:pStyle w:val="Textbody"/>
      </w:pPr>
      <w:r>
        <w:rPr>
          <w:b/>
          <w:u w:val="single"/>
        </w:rPr>
        <w:t>Valid Values / Examples</w:t>
      </w:r>
      <w:r>
        <w:t xml:space="preserve"> – ...</w:t>
      </w:r>
    </w:p>
    <w:p w:rsidR="00323F52" w:rsidRDefault="00766D7F">
      <w:pPr>
        <w:pStyle w:val="Textbody"/>
      </w:pPr>
      <w:r>
        <w:rPr>
          <w:b/>
          <w:u w:val="single"/>
        </w:rPr>
        <w:t>Sub-elements</w:t>
      </w:r>
      <w:r>
        <w:t xml:space="preserve"> – List of references to elements that are part of this element</w:t>
      </w:r>
    </w:p>
    <w:p w:rsidR="00323F52" w:rsidRDefault="00766D7F">
      <w:pPr>
        <w:pStyle w:val="Textbody"/>
      </w:pPr>
      <w:r>
        <w:rPr>
          <w:b/>
          <w:u w:val="single"/>
        </w:rPr>
        <w:t>Used In</w:t>
      </w:r>
      <w:r>
        <w:t xml:space="preserve"> – Source of the requirement or usage of the element.</w:t>
      </w:r>
    </w:p>
    <w:p w:rsidR="00323F52" w:rsidRDefault="00766D7F">
      <w:pPr>
        <w:pStyle w:val="Textbody"/>
      </w:pPr>
      <w:r>
        <w:rPr>
          <w:b/>
          <w:u w:val="single"/>
        </w:rPr>
        <w:t>Requirements Supported</w:t>
      </w:r>
      <w:r>
        <w:t xml:space="preserve"> – A code representing and referring to each requirement contained in the ori</w:t>
      </w:r>
      <w:r>
        <w:t>g</w:t>
      </w:r>
      <w:r>
        <w:t>inal submission from the practitioner process to OASIS. EACH general, functional or information requir</w:t>
      </w:r>
      <w:r>
        <w:t>e</w:t>
      </w:r>
      <w:r>
        <w:t>ment is accounted for by one or more elements in the data dictionary, and/or by relationships in the me</w:t>
      </w:r>
      <w:r>
        <w:t>s</w:t>
      </w:r>
      <w:r>
        <w:t>sage structure, one or more business rules, or through the overall standard (e.g. for general and functio</w:t>
      </w:r>
      <w:r>
        <w:t>n</w:t>
      </w:r>
      <w:r>
        <w:t>al requirements).</w:t>
      </w:r>
    </w:p>
    <w:p w:rsidR="00323F52" w:rsidRDefault="00766D7F">
      <w:pPr>
        <w:pStyle w:val="Heading2"/>
      </w:pPr>
      <w:bookmarkStart w:id="28" w:name="__RefHeading__1406_291491422"/>
      <w:r>
        <w:t>Routing Header</w:t>
      </w:r>
      <w:bookmarkEnd w:id="28"/>
    </w:p>
    <w:p w:rsidR="00323F52" w:rsidRDefault="00856A06">
      <w:pPr>
        <w:rPr>
          <w:sz w:val="28"/>
          <w:szCs w:val="28"/>
        </w:rPr>
      </w:pPr>
      <w:r w:rsidRPr="00856A06">
        <w:rPr>
          <w:sz w:val="28"/>
          <w:szCs w:val="28"/>
          <w:highlight w:val="yellow"/>
        </w:rPr>
        <w:t>Probably doesn’t belong here – 1- this is DE, and 2- don’t include parent/top level element in the DD</w:t>
      </w:r>
    </w:p>
    <w:p w:rsidR="0009317A" w:rsidRDefault="0009317A">
      <w:pPr>
        <w:rPr>
          <w:sz w:val="28"/>
          <w:szCs w:val="28"/>
        </w:rPr>
      </w:pPr>
      <w:r w:rsidRPr="0009317A">
        <w:rPr>
          <w:sz w:val="28"/>
          <w:szCs w:val="28"/>
          <w:highlight w:val="yellow"/>
        </w:rPr>
        <w:t>Discuss later whether any DE elements belong in the DD at all – even in a separate reference section</w:t>
      </w:r>
    </w:p>
    <w:tbl>
      <w:tblPr>
        <w:tblW w:w="10786" w:type="dxa"/>
        <w:tblInd w:w="50" w:type="dxa"/>
        <w:tblLayout w:type="fixed"/>
        <w:tblCellMar>
          <w:left w:w="10" w:type="dxa"/>
          <w:right w:w="10" w:type="dxa"/>
        </w:tblCellMar>
        <w:tblLook w:val="0000" w:firstRow="0" w:lastRow="0" w:firstColumn="0" w:lastColumn="0" w:noHBand="0" w:noVBand="0"/>
      </w:tblPr>
      <w:tblGrid>
        <w:gridCol w:w="1425"/>
        <w:gridCol w:w="9361"/>
      </w:tblGrid>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bookmarkStart w:id="29" w:name="ADD-EDXLDistribution1121"/>
            <w:r>
              <w:rPr>
                <w:rFonts w:ascii="Arial, sans-serif" w:hAnsi="Arial, sans-serif" w:cs="Arial, sans-serif"/>
                <w:b/>
                <w:bCs/>
              </w:rPr>
              <w:t>Element</w:t>
            </w:r>
            <w:bookmarkEnd w:id="29"/>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RoutingHeader</w:t>
            </w:r>
            <w:proofErr w:type="spellEnd"/>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xsd:complexType</w:t>
            </w:r>
            <w:proofErr w:type="spellEnd"/>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[0..1]</w:t>
            </w:r>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Group of elements used for message routing.</w:t>
            </w:r>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Assumed to use EDXL-DE or equivalent required elements and structure.</w:t>
            </w:r>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Report, Update, Cancel, Request, Response, Ack, Error</w:t>
            </w:r>
          </w:p>
        </w:tc>
      </w:tr>
      <w:tr w:rsidR="00323F52">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numPr>
                <w:ilvl w:val="0"/>
                <w:numId w:val="109"/>
              </w:numPr>
              <w:snapToGrid w:val="0"/>
              <w:rPr>
                <w:rFonts w:ascii="Arial, sans-serif" w:hAnsi="Arial, sans-serif" w:cs="Arial, sans-serif"/>
              </w:rPr>
            </w:pPr>
            <w:r>
              <w:rPr>
                <w:rFonts w:ascii="Arial, sans-serif" w:hAnsi="Arial, sans-serif" w:cs="Arial, sans-serif"/>
              </w:rPr>
              <w:t>distributionType [1..1]: DistributionType</w:t>
            </w:r>
          </w:p>
          <w:p w:rsidR="00323F52" w:rsidRDefault="00766D7F">
            <w:pPr>
              <w:pStyle w:val="Standard"/>
              <w:numPr>
                <w:ilvl w:val="0"/>
                <w:numId w:val="109"/>
              </w:numPr>
              <w:snapToGrid w:val="0"/>
              <w:rPr>
                <w:rFonts w:ascii="Arial, sans-serif" w:hAnsi="Arial, sans-serif" w:cs="Arial, sans-serif"/>
              </w:rPr>
            </w:pPr>
            <w:r>
              <w:rPr>
                <w:rFonts w:ascii="Arial, sans-serif" w:hAnsi="Arial, sans-serif" w:cs="Arial, sans-serif"/>
              </w:rPr>
              <w:t>senderID [1..1]: SenderID</w:t>
            </w:r>
          </w:p>
          <w:p w:rsidR="00323F52" w:rsidRDefault="00766D7F">
            <w:pPr>
              <w:pStyle w:val="Standard"/>
              <w:numPr>
                <w:ilvl w:val="0"/>
                <w:numId w:val="110"/>
              </w:numPr>
              <w:snapToGrid w:val="0"/>
              <w:rPr>
                <w:rFonts w:ascii="Arial, sans-serif" w:hAnsi="Arial, sans-serif" w:cs="Arial, sans-serif"/>
              </w:rPr>
            </w:pPr>
            <w:r>
              <w:rPr>
                <w:rFonts w:ascii="Arial, sans-serif" w:hAnsi="Arial, sans-serif" w:cs="Arial, sans-serif"/>
              </w:rPr>
              <w:t>senderRole [0..*]: SenderRole</w:t>
            </w:r>
          </w:p>
          <w:p w:rsidR="00323F52" w:rsidRDefault="00766D7F">
            <w:pPr>
              <w:pStyle w:val="Standard"/>
              <w:numPr>
                <w:ilvl w:val="0"/>
                <w:numId w:val="110"/>
              </w:numPr>
              <w:snapToGrid w:val="0"/>
              <w:rPr>
                <w:rFonts w:ascii="Arial, sans-serif" w:hAnsi="Arial, sans-serif" w:cs="Arial, sans-serif"/>
              </w:rPr>
            </w:pPr>
            <w:r>
              <w:rPr>
                <w:rFonts w:ascii="Arial, sans-serif" w:hAnsi="Arial, sans-serif" w:cs="Arial, sans-serif"/>
              </w:rPr>
              <w:t>dateTimeSent [1..1]: DateTimeSent</w:t>
            </w:r>
          </w:p>
        </w:tc>
      </w:tr>
      <w:tr w:rsidR="00323F52">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EDXL-DE</w:t>
            </w:r>
          </w:p>
        </w:tc>
      </w:tr>
      <w:tr w:rsidR="00323F52">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rPr>
          <w:rFonts w:ascii="Arial, sans-serif" w:hAnsi="Arial, sans-serif"/>
          <w:sz w:val="28"/>
          <w:szCs w:val="28"/>
        </w:rPr>
      </w:pPr>
    </w:p>
    <w:p w:rsidR="00323F52" w:rsidRDefault="00323F52">
      <w:pPr>
        <w:pStyle w:val="Standard"/>
        <w:rPr>
          <w:rFonts w:ascii="Arial, sans-serif" w:hAnsi="Arial, sans-serif"/>
          <w:sz w:val="28"/>
          <w:szCs w:val="28"/>
        </w:rPr>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0" w:name="ADD-EDXLDistribution11211"/>
            <w:r>
              <w:rPr>
                <w:rFonts w:ascii="Arial, sans-serif" w:hAnsi="Arial, sans-serif" w:cs="Arial, sans-serif"/>
                <w:b/>
                <w:bCs/>
              </w:rPr>
              <w:t>T</w:t>
            </w:r>
            <w:bookmarkEnd w:id="30"/>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r>
              <w:rPr>
                <w:rFonts w:ascii="Arial, sans-serif" w:hAnsi="Arial, sans-serif" w:cs="Arial, sans-serif"/>
                <w:b/>
                <w:bCs/>
                <w:color w:val="0033FF"/>
              </w:rPr>
              <w:t>DistributionType</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xs:string</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The function of the message value must be one of:</w:t>
            </w:r>
          </w:p>
          <w:p w:rsidR="00323F52" w:rsidRDefault="00766D7F">
            <w:pPr>
              <w:pStyle w:val="Standard"/>
              <w:snapToGrid w:val="0"/>
              <w:rPr>
                <w:rFonts w:ascii="Arial, sans-serif" w:hAnsi="Arial, sans-serif" w:cs="Arial, sans-serif"/>
              </w:rPr>
            </w:pPr>
            <w:r>
              <w:rPr>
                <w:rFonts w:ascii="Arial, sans-serif" w:hAnsi="Arial, sans-serif" w:cs="Arial, sans-serif"/>
              </w:rPr>
              <w:t>a. Report - New information regarding an incident or activity.</w:t>
            </w:r>
          </w:p>
          <w:p w:rsidR="00323F52" w:rsidRDefault="00766D7F">
            <w:pPr>
              <w:pStyle w:val="Standard"/>
              <w:snapToGrid w:val="0"/>
              <w:rPr>
                <w:rFonts w:ascii="Arial, sans-serif" w:hAnsi="Arial, sans-serif" w:cs="Arial, sans-serif"/>
              </w:rPr>
            </w:pPr>
            <w:r>
              <w:rPr>
                <w:rFonts w:ascii="Arial, sans-serif" w:hAnsi="Arial, sans-serif" w:cs="Arial, sans-serif"/>
              </w:rPr>
              <w:t>b. Update - Updated information superseding a previous message.</w:t>
            </w:r>
          </w:p>
          <w:p w:rsidR="00323F52" w:rsidRDefault="00766D7F">
            <w:pPr>
              <w:pStyle w:val="Standard"/>
              <w:snapToGrid w:val="0"/>
              <w:rPr>
                <w:rFonts w:ascii="Arial, sans-serif" w:hAnsi="Arial, sans-serif" w:cs="Arial, sans-serif"/>
              </w:rPr>
            </w:pPr>
            <w:r>
              <w:rPr>
                <w:rFonts w:ascii="Arial, sans-serif" w:hAnsi="Arial, sans-serif" w:cs="Arial, sans-serif"/>
              </w:rPr>
              <w:t>c. Cancel - A cancellation or revocation of a previous message.</w:t>
            </w:r>
          </w:p>
          <w:p w:rsidR="00323F52" w:rsidRDefault="00766D7F">
            <w:pPr>
              <w:pStyle w:val="Standard"/>
              <w:snapToGrid w:val="0"/>
              <w:rPr>
                <w:rFonts w:ascii="Arial, sans-serif" w:hAnsi="Arial, sans-serif" w:cs="Arial, sans-serif"/>
              </w:rPr>
            </w:pPr>
            <w:r>
              <w:rPr>
                <w:rFonts w:ascii="Arial, sans-serif" w:hAnsi="Arial, sans-serif" w:cs="Arial, sans-serif"/>
              </w:rPr>
              <w:t>d. Request - A request for resources, information or action.</w:t>
            </w:r>
          </w:p>
          <w:p w:rsidR="00323F52" w:rsidRDefault="00766D7F">
            <w:pPr>
              <w:pStyle w:val="Standard"/>
              <w:snapToGrid w:val="0"/>
              <w:rPr>
                <w:rFonts w:ascii="Arial, sans-serif" w:hAnsi="Arial, sans-serif" w:cs="Arial, sans-serif"/>
              </w:rPr>
            </w:pPr>
            <w:r>
              <w:rPr>
                <w:rFonts w:ascii="Arial, sans-serif" w:hAnsi="Arial, sans-serif" w:cs="Arial, sans-serif"/>
              </w:rPr>
              <w:t>e. Response - A response to a previous request.</w:t>
            </w:r>
          </w:p>
          <w:p w:rsidR="00323F52" w:rsidRDefault="00766D7F">
            <w:pPr>
              <w:pStyle w:val="Standard"/>
              <w:snapToGrid w:val="0"/>
              <w:rPr>
                <w:rFonts w:ascii="Arial, sans-serif" w:hAnsi="Arial, sans-serif" w:cs="Arial, sans-serif"/>
              </w:rPr>
            </w:pPr>
            <w:r>
              <w:rPr>
                <w:rFonts w:ascii="Arial, sans-serif" w:hAnsi="Arial, sans-serif" w:cs="Arial, sans-serif"/>
              </w:rPr>
              <w:t>f. Ack - Acknowledgment of receipt of an earlier message.</w:t>
            </w:r>
          </w:p>
          <w:p w:rsidR="00323F52" w:rsidRDefault="00766D7F">
            <w:pPr>
              <w:pStyle w:val="Standard"/>
              <w:snapToGrid w:val="0"/>
              <w:rPr>
                <w:rFonts w:ascii="Arial, sans-serif" w:hAnsi="Arial, sans-serif" w:cs="Arial, sans-serif"/>
              </w:rPr>
            </w:pPr>
            <w:r>
              <w:rPr>
                <w:rFonts w:ascii="Arial, sans-serif" w:hAnsi="Arial, sans-serif" w:cs="Arial, sans-serif"/>
              </w:rPr>
              <w:t>g. Error - Rejection of an earlier message (for technical reasons).</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1. Note that where an existing EDXL-DE element meets a stated practitioner requirement, that element will NOT be replicated, duplicated or referred to in the body of a TEP Message.  The assumption and rule is that the EDXL-DE or equivalent will be used to route TEP messages, and therefore these r</w:t>
            </w:r>
            <w:r>
              <w:t>e</w:t>
            </w:r>
            <w:r>
              <w:t>quirements are met by the DE.</w:t>
            </w:r>
          </w:p>
          <w:p w:rsidR="00323F52" w:rsidRDefault="00766D7F">
            <w:pPr>
              <w:pStyle w:val="Standard"/>
              <w:snapToGrid w:val="0"/>
              <w:spacing w:after="280"/>
            </w:pPr>
            <w:r>
              <w:t>2. The EDXL-DE, “distributionType” element meets this requirement.  Each of the values above will be treated as an enumeration in the EA tool.</w:t>
            </w:r>
          </w:p>
          <w:p w:rsidR="00323F52" w:rsidRDefault="00766D7F">
            <w:pPr>
              <w:pStyle w:val="Standard"/>
              <w:snapToGrid w:val="0"/>
              <w:spacing w:after="280"/>
            </w:pPr>
            <w:r>
              <w:t xml:space="preserve">3. Note:  Suggestion to add “Test” as a value in the DE version discussions </w:t>
            </w:r>
            <w:r>
              <w:rPr>
                <w:shd w:val="clear" w:color="auto" w:fill="FFFF00"/>
              </w:rPr>
              <w:t>(however, note that the DE already contains “</w:t>
            </w:r>
            <w:proofErr w:type="spellStart"/>
            <w:r>
              <w:rPr>
                <w:shd w:val="clear" w:color="auto" w:fill="FFFF00"/>
              </w:rPr>
              <w:t>distributionStatus</w:t>
            </w:r>
            <w:proofErr w:type="spellEnd"/>
            <w:r>
              <w:rPr>
                <w:shd w:val="clear" w:color="auto" w:fill="FFFF00"/>
              </w:rPr>
              <w:t>” of Actual, Exercise, System and Test.  Need to confirm this will meet the need.)</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Report, Update, Cancel, Request, Response, Ack, Error</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EDXL-DE</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rPr>
          <w:rFonts w:ascii="Arial, sans-serif" w:hAnsi="Arial, sans-serif"/>
          <w:sz w:val="28"/>
          <w:szCs w:val="28"/>
        </w:rPr>
      </w:pPr>
    </w:p>
    <w:p w:rsidR="00323F52" w:rsidRDefault="00323F52">
      <w:pPr>
        <w:pStyle w:val="Standard"/>
        <w:rPr>
          <w:rFonts w:ascii="Arial, sans-serif" w:hAnsi="Arial, sans-serif"/>
          <w:sz w:val="28"/>
          <w:szCs w:val="28"/>
        </w:rPr>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1" w:name="ADD-EDXLDistribution112111"/>
            <w:r>
              <w:rPr>
                <w:rFonts w:ascii="Arial, sans-serif" w:hAnsi="Arial, sans-serif" w:cs="Arial, sans-serif"/>
                <w:b/>
                <w:bCs/>
              </w:rPr>
              <w:t>T</w:t>
            </w:r>
            <w:bookmarkEnd w:id="31"/>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r>
              <w:rPr>
                <w:rFonts w:ascii="Arial, sans-serif" w:hAnsi="Arial, sans-serif" w:cs="Arial, sans-serif"/>
                <w:b/>
                <w:bCs/>
                <w:color w:val="0033FF"/>
              </w:rPr>
              <w:t>SenderID</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xs:string</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Unique identifier of the sender.</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1. Uniquely identifies human parties, systems, services, or devices that are all potential senders of the distribution message.</w:t>
            </w:r>
          </w:p>
          <w:p w:rsidR="00323F52" w:rsidRDefault="00766D7F">
            <w:pPr>
              <w:pStyle w:val="Standard"/>
              <w:snapToGrid w:val="0"/>
              <w:spacing w:after="280"/>
            </w:pPr>
            <w:r>
              <w:t xml:space="preserve">2. In the form </w:t>
            </w:r>
            <w:proofErr w:type="spellStart"/>
            <w:r>
              <w:t>actor@domain-name</w:t>
            </w:r>
            <w:proofErr w:type="spellEnd"/>
            <w:r>
              <w:t>.</w:t>
            </w:r>
          </w:p>
          <w:p w:rsidR="00323F52" w:rsidRDefault="00766D7F">
            <w:pPr>
              <w:pStyle w:val="Standard"/>
              <w:snapToGrid w:val="0"/>
              <w:spacing w:after="280"/>
            </w:pPr>
            <w:r>
              <w:t>3. Uniqueness of the domain-name is guaranteed through use of the Internet Domain Name System, and uniqueness of the actor name enforced by the domain owner.</w:t>
            </w:r>
          </w:p>
          <w:p w:rsidR="00323F52" w:rsidRDefault="00766D7F">
            <w:pPr>
              <w:pStyle w:val="Standard"/>
              <w:snapToGrid w:val="0"/>
              <w:spacing w:after="280"/>
            </w:pPr>
            <w:r>
              <w:t>4. The identifier MUST be a properly formed - escaped if necessary - XML string.</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Example:  dispatcher@example.gov, 0006.0e39.ad80@example.com</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EDXL-DE</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rPr>
          <w:rFonts w:ascii="Arial, sans-serif" w:hAnsi="Arial, sans-serif"/>
          <w:sz w:val="28"/>
          <w:szCs w:val="28"/>
        </w:rPr>
      </w:pPr>
    </w:p>
    <w:p w:rsidR="00323F52" w:rsidRDefault="00323F52">
      <w:pPr>
        <w:pStyle w:val="Standard"/>
        <w:rPr>
          <w:rFonts w:ascii="Arial, sans-serif" w:hAnsi="Arial, sans-serif"/>
          <w:sz w:val="28"/>
          <w:szCs w:val="28"/>
        </w:rPr>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2" w:name="ADD-EDXLDistribution1121111"/>
            <w:r>
              <w:rPr>
                <w:rFonts w:ascii="Arial, sans-serif" w:hAnsi="Arial, sans-serif" w:cs="Arial, sans-serif"/>
                <w:b/>
                <w:bCs/>
              </w:rPr>
              <w:t>T</w:t>
            </w:r>
            <w:bookmarkEnd w:id="32"/>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r>
              <w:rPr>
                <w:rFonts w:ascii="Arial, sans-serif" w:hAnsi="Arial, sans-serif" w:cs="Arial, sans-serif"/>
                <w:b/>
                <w:bCs/>
                <w:color w:val="0033FF"/>
              </w:rPr>
              <w:t>SenderRole</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ValueListURI</w:t>
            </w:r>
            <w:proofErr w:type="spellEnd"/>
            <w:r>
              <w:rPr>
                <w:rFonts w:ascii="Arial, sans-serif" w:hAnsi="Arial, sans-serif" w:cs="Arial, sans-serif"/>
              </w:rPr>
              <w:t xml:space="preserve">: </w:t>
            </w:r>
            <w:proofErr w:type="spellStart"/>
            <w:r>
              <w:rPr>
                <w:rFonts w:ascii="Arial, sans-serif" w:hAnsi="Arial, sans-serif" w:cs="Arial, sans-serif"/>
              </w:rPr>
              <w:t>xsd:AnyURI</w:t>
            </w:r>
            <w:proofErr w:type="spellEnd"/>
          </w:p>
          <w:p w:rsidR="00323F52" w:rsidRDefault="00766D7F">
            <w:pPr>
              <w:pStyle w:val="Standard"/>
              <w:snapToGrid w:val="0"/>
              <w:rPr>
                <w:rFonts w:ascii="Arial, sans-serif" w:hAnsi="Arial, sans-serif" w:cs="Arial, sans-serif"/>
              </w:rPr>
            </w:pPr>
            <w:r>
              <w:rPr>
                <w:rFonts w:ascii="Arial, sans-serif" w:hAnsi="Arial, sans-serif" w:cs="Arial, sans-serif"/>
              </w:rPr>
              <w:t xml:space="preserve">Value:  </w:t>
            </w:r>
            <w:proofErr w:type="spellStart"/>
            <w:r>
              <w:rPr>
                <w:rFonts w:ascii="Arial, sans-serif" w:hAnsi="Arial, sans-serif" w:cs="Arial, sans-serif"/>
              </w:rPr>
              <w:t>xsd:String</w:t>
            </w:r>
            <w:proofErr w:type="spellEnd"/>
            <w:r>
              <w:rPr>
                <w:rFonts w:ascii="Arial, sans-serif" w:hAnsi="Arial, sans-serif" w:cs="Arial, sans-serif"/>
              </w:rPr>
              <w:t xml:space="preserve"> [1..*]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The functional role of the sender, as it may determine message routing decisions or help to identify the message sender.</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144"/>
            </w:pPr>
            <w:r>
              <w:t>1. The list and associated value(s) is in the form:</w:t>
            </w:r>
          </w:p>
          <w:p w:rsidR="00323F52" w:rsidRDefault="00766D7F">
            <w:pPr>
              <w:pStyle w:val="Standard"/>
              <w:snapToGrid w:val="0"/>
            </w:pPr>
            <w:r>
              <w:t>&lt;senderRole&gt;</w:t>
            </w:r>
          </w:p>
          <w:p w:rsidR="00323F52" w:rsidRDefault="00766D7F">
            <w:pPr>
              <w:pStyle w:val="Standard"/>
              <w:snapToGrid w:val="0"/>
            </w:pPr>
            <w:r>
              <w:t>&lt;</w:t>
            </w:r>
            <w:proofErr w:type="spellStart"/>
            <w:r>
              <w:t>valueListURI</w:t>
            </w:r>
            <w:proofErr w:type="spellEnd"/>
            <w:r>
              <w:t>&gt;</w:t>
            </w:r>
            <w:proofErr w:type="spellStart"/>
            <w:r>
              <w:t>valueListURI</w:t>
            </w:r>
            <w:proofErr w:type="spellEnd"/>
            <w:r>
              <w:t>&lt;/</w:t>
            </w:r>
            <w:proofErr w:type="spellStart"/>
            <w:r>
              <w:t>valueListURI</w:t>
            </w:r>
            <w:proofErr w:type="spellEnd"/>
            <w:r>
              <w:t>&gt;</w:t>
            </w:r>
          </w:p>
          <w:p w:rsidR="00323F52" w:rsidRDefault="00766D7F">
            <w:pPr>
              <w:pStyle w:val="Standard"/>
              <w:snapToGrid w:val="0"/>
            </w:pPr>
            <w:r>
              <w:t>&lt;value&gt;value&lt;/value&gt;</w:t>
            </w:r>
          </w:p>
          <w:p w:rsidR="00323F52" w:rsidRDefault="00766D7F">
            <w:pPr>
              <w:pStyle w:val="Standard"/>
              <w:snapToGrid w:val="0"/>
              <w:spacing w:after="144"/>
            </w:pPr>
            <w:r>
              <w:t>&lt;/senderRole&gt;</w:t>
            </w:r>
          </w:p>
          <w:p w:rsidR="00323F52" w:rsidRDefault="00766D7F">
            <w:pPr>
              <w:pStyle w:val="Standard"/>
              <w:snapToGrid w:val="0"/>
              <w:spacing w:after="280"/>
            </w:pPr>
            <w:r>
              <w:t>where the content of &lt;</w:t>
            </w:r>
            <w:proofErr w:type="spellStart"/>
            <w:r>
              <w:t>valueListURI</w:t>
            </w:r>
            <w:proofErr w:type="spellEnd"/>
            <w:r>
              <w:t>&gt; is the Uniform Resource Identifier of a published list of values and definitions, and the content of &lt;value&gt; is a string (which may represent a number) denoting the value itself.</w:t>
            </w:r>
          </w:p>
          <w:p w:rsidR="00323F52" w:rsidRDefault="00766D7F">
            <w:pPr>
              <w:pStyle w:val="Standard"/>
              <w:snapToGrid w:val="0"/>
              <w:spacing w:after="280"/>
            </w:pPr>
            <w:r>
              <w:t>2. Multiple instances of the &lt;value&gt;, MAY occur with a single &lt;</w:t>
            </w:r>
            <w:proofErr w:type="spellStart"/>
            <w:r>
              <w:t>valueListURI</w:t>
            </w:r>
            <w:proofErr w:type="spellEnd"/>
            <w:r>
              <w:t>&gt; within the &lt;senderRole&gt; container.</w:t>
            </w:r>
          </w:p>
          <w:p w:rsidR="00323F52" w:rsidRDefault="00766D7F">
            <w:pPr>
              <w:pStyle w:val="Standard"/>
              <w:snapToGrid w:val="0"/>
              <w:spacing w:after="280"/>
            </w:pPr>
            <w:r>
              <w:t>3. Multiple instances of &lt;senderRole&gt; MAY occur within a single &lt;</w:t>
            </w:r>
            <w:proofErr w:type="spellStart"/>
            <w:r>
              <w:t>EDXLDistribution</w:t>
            </w:r>
            <w:proofErr w:type="spellEnd"/>
            <w:r>
              <w:t>&gt; container.</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EDXL-DE</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rPr>
          <w:rFonts w:ascii="Arial, sans-serif" w:hAnsi="Arial, sans-serif"/>
          <w:sz w:val="28"/>
          <w:szCs w:val="28"/>
        </w:rPr>
      </w:pPr>
    </w:p>
    <w:p w:rsidR="00323F52" w:rsidRDefault="00323F52">
      <w:pPr>
        <w:pStyle w:val="Standard"/>
        <w:rPr>
          <w:rFonts w:ascii="Arial, sans-serif" w:hAnsi="Arial, sans-serif"/>
          <w:sz w:val="28"/>
          <w:szCs w:val="28"/>
        </w:rPr>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3" w:name="ADD-EDXLDistribution11211111"/>
            <w:r>
              <w:rPr>
                <w:rFonts w:ascii="Arial, sans-serif" w:hAnsi="Arial, sans-serif" w:cs="Arial, sans-serif"/>
                <w:b/>
                <w:bCs/>
              </w:rPr>
              <w:t>T</w:t>
            </w:r>
            <w:bookmarkEnd w:id="33"/>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r>
              <w:rPr>
                <w:rFonts w:ascii="Arial, sans-serif" w:hAnsi="Arial, sans-serif" w:cs="Arial, sans-serif"/>
                <w:b/>
                <w:bCs/>
                <w:color w:val="0033FF"/>
              </w:rPr>
              <w:t>DateTimeSent</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xsd:dateTime</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The functional role of the sender, as it may determine message routing decisions or help to identify the message sender.</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144"/>
            </w:pPr>
            <w:r>
              <w:t>1. The list and associated value(s) is in the form:</w:t>
            </w:r>
          </w:p>
          <w:p w:rsidR="00323F52" w:rsidRDefault="00766D7F">
            <w:pPr>
              <w:pStyle w:val="Standard"/>
              <w:snapToGrid w:val="0"/>
            </w:pPr>
            <w:r>
              <w:t>&lt;senderRole&gt;</w:t>
            </w:r>
          </w:p>
          <w:p w:rsidR="00323F52" w:rsidRDefault="00766D7F">
            <w:pPr>
              <w:pStyle w:val="Standard"/>
              <w:snapToGrid w:val="0"/>
            </w:pPr>
            <w:r>
              <w:t>&lt;</w:t>
            </w:r>
            <w:proofErr w:type="spellStart"/>
            <w:r>
              <w:t>valueListURI</w:t>
            </w:r>
            <w:proofErr w:type="spellEnd"/>
            <w:r>
              <w:t>&gt;</w:t>
            </w:r>
            <w:proofErr w:type="spellStart"/>
            <w:r>
              <w:t>valueListURI</w:t>
            </w:r>
            <w:proofErr w:type="spellEnd"/>
            <w:r>
              <w:t>&lt;/</w:t>
            </w:r>
            <w:proofErr w:type="spellStart"/>
            <w:r>
              <w:t>valueListURI</w:t>
            </w:r>
            <w:proofErr w:type="spellEnd"/>
            <w:r>
              <w:t>&gt;</w:t>
            </w:r>
          </w:p>
          <w:p w:rsidR="00323F52" w:rsidRDefault="00766D7F">
            <w:pPr>
              <w:pStyle w:val="Standard"/>
              <w:snapToGrid w:val="0"/>
            </w:pPr>
            <w:r>
              <w:t>&lt;value&gt;value&lt;/value&gt;</w:t>
            </w:r>
          </w:p>
          <w:p w:rsidR="00323F52" w:rsidRDefault="00766D7F">
            <w:pPr>
              <w:pStyle w:val="Standard"/>
              <w:snapToGrid w:val="0"/>
              <w:spacing w:after="144"/>
            </w:pPr>
            <w:r>
              <w:t>&lt;/senderRole&gt;</w:t>
            </w:r>
          </w:p>
          <w:p w:rsidR="00323F52" w:rsidRDefault="00766D7F">
            <w:pPr>
              <w:pStyle w:val="Standard"/>
              <w:snapToGrid w:val="0"/>
              <w:spacing w:after="280"/>
            </w:pPr>
            <w:r>
              <w:t>where the content of &lt;</w:t>
            </w:r>
            <w:proofErr w:type="spellStart"/>
            <w:r>
              <w:t>valueListURI</w:t>
            </w:r>
            <w:proofErr w:type="spellEnd"/>
            <w:r>
              <w:t>&gt; is the Uniform Resource Identifier of a published list of values and definitions, and the content of &lt;value&gt; is a string (which may represent a number) denoting the value itself.</w:t>
            </w:r>
          </w:p>
          <w:p w:rsidR="00323F52" w:rsidRDefault="00766D7F">
            <w:pPr>
              <w:pStyle w:val="Standard"/>
              <w:snapToGrid w:val="0"/>
              <w:spacing w:after="280"/>
            </w:pPr>
            <w:r>
              <w:t>2. Multiple instances of the &lt;value&gt;, MAY occur with a single &lt;</w:t>
            </w:r>
            <w:proofErr w:type="spellStart"/>
            <w:r>
              <w:t>valueListURI</w:t>
            </w:r>
            <w:proofErr w:type="spellEnd"/>
            <w:r>
              <w:t>&gt; within the &lt;senderRole&gt; container.</w:t>
            </w:r>
          </w:p>
          <w:p w:rsidR="00323F52" w:rsidRDefault="00766D7F">
            <w:pPr>
              <w:pStyle w:val="Standard"/>
              <w:snapToGrid w:val="0"/>
              <w:spacing w:after="280"/>
            </w:pPr>
            <w:r>
              <w:t>3. Multiple instances of &lt;senderRole&gt; MAY occur within a single &lt;</w:t>
            </w:r>
            <w:proofErr w:type="spellStart"/>
            <w:r>
              <w:t>EDXLDistribution</w:t>
            </w:r>
            <w:proofErr w:type="spellEnd"/>
            <w:r>
              <w:t>&gt; container.</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EDXL-DE</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766D7F">
      <w:pPr>
        <w:pStyle w:val="Standard"/>
        <w:rPr>
          <w:rFonts w:ascii="Arial, sans-serif" w:hAnsi="Arial, sans-serif"/>
          <w:sz w:val="28"/>
          <w:szCs w:val="28"/>
        </w:rPr>
      </w:pPr>
      <w:r>
        <w:rPr>
          <w:rFonts w:ascii="Arial, sans-serif" w:hAnsi="Arial, sans-serif"/>
          <w:sz w:val="28"/>
          <w:szCs w:val="28"/>
        </w:rPr>
        <w:br/>
      </w:r>
    </w:p>
    <w:p w:rsidR="00323F52" w:rsidRDefault="00766D7F">
      <w:pPr>
        <w:pStyle w:val="Heading2"/>
      </w:pPr>
      <w:r>
        <w:t>Attachments</w:t>
      </w:r>
    </w:p>
    <w:p w:rsidR="00323F52" w:rsidRDefault="00323F52"/>
    <w:tbl>
      <w:tblPr>
        <w:tblW w:w="10786" w:type="dxa"/>
        <w:tblInd w:w="50" w:type="dxa"/>
        <w:tblLayout w:type="fixed"/>
        <w:tblCellMar>
          <w:left w:w="10" w:type="dxa"/>
          <w:right w:w="10" w:type="dxa"/>
        </w:tblCellMar>
        <w:tblLook w:val="0000" w:firstRow="0" w:lastRow="0" w:firstColumn="0" w:lastColumn="0" w:noHBand="0" w:noVBand="0"/>
      </w:tblPr>
      <w:tblGrid>
        <w:gridCol w:w="1425"/>
        <w:gridCol w:w="9361"/>
      </w:tblGrid>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bookmarkStart w:id="34" w:name="ADD-EDXLDistribution11212"/>
            <w:r>
              <w:rPr>
                <w:rFonts w:ascii="Arial, sans-serif" w:hAnsi="Arial, sans-serif" w:cs="Arial, sans-serif"/>
                <w:b/>
                <w:bCs/>
              </w:rPr>
              <w:t>Element</w:t>
            </w:r>
            <w:bookmarkEnd w:id="34"/>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r>
              <w:rPr>
                <w:rFonts w:ascii="Arial, sans-serif" w:hAnsi="Arial, sans-serif" w:cs="Arial, sans-serif"/>
                <w:b/>
                <w:bCs/>
                <w:color w:val="0033FF"/>
              </w:rPr>
              <w:t>Attachment</w:t>
            </w:r>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xsd:complexType</w:t>
            </w:r>
            <w:proofErr w:type="spellEnd"/>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w:t>
            </w:r>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Capability to carry "attachments" noted with a TEP message.(non-XML content or other non-TEP XML content) .</w:t>
            </w:r>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Assumed to use EDXL-DE or equivalent required elements and structure.</w:t>
            </w:r>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numPr>
                <w:ilvl w:val="0"/>
                <w:numId w:val="111"/>
              </w:numPr>
              <w:snapToGrid w:val="0"/>
              <w:rPr>
                <w:rFonts w:ascii="Arial, sans-serif" w:hAnsi="Arial, sans-serif" w:cs="Arial, sans-serif"/>
              </w:rPr>
            </w:pPr>
            <w:proofErr w:type="spellStart"/>
            <w:r>
              <w:rPr>
                <w:rFonts w:ascii="Arial, sans-serif" w:hAnsi="Arial, sans-serif" w:cs="Arial, sans-serif"/>
              </w:rPr>
              <w:t>clientPhotograph</w:t>
            </w:r>
            <w:proofErr w:type="spellEnd"/>
            <w:r>
              <w:rPr>
                <w:rFonts w:ascii="Arial, sans-serif" w:hAnsi="Arial, sans-serif" w:cs="Arial, sans-serif"/>
              </w:rPr>
              <w:t xml:space="preserve"> [0..*]: </w:t>
            </w:r>
            <w:proofErr w:type="spellStart"/>
            <w:r>
              <w:rPr>
                <w:rFonts w:ascii="Arial, sans-serif" w:hAnsi="Arial, sans-serif" w:cs="Arial, sans-serif"/>
              </w:rPr>
              <w:t>ClientPhotograph</w:t>
            </w:r>
            <w:proofErr w:type="spellEnd"/>
          </w:p>
          <w:p w:rsidR="00323F52" w:rsidRDefault="00766D7F">
            <w:pPr>
              <w:pStyle w:val="Standard"/>
              <w:numPr>
                <w:ilvl w:val="0"/>
                <w:numId w:val="111"/>
              </w:numPr>
              <w:snapToGrid w:val="0"/>
              <w:rPr>
                <w:rFonts w:ascii="Arial, sans-serif" w:hAnsi="Arial, sans-serif" w:cs="Arial, sans-serif"/>
              </w:rPr>
            </w:pPr>
            <w:proofErr w:type="spellStart"/>
            <w:r>
              <w:rPr>
                <w:rFonts w:ascii="Arial, sans-serif" w:hAnsi="Arial, sans-serif" w:cs="Arial, sans-serif"/>
              </w:rPr>
              <w:t>clientFingerprint</w:t>
            </w:r>
            <w:proofErr w:type="spellEnd"/>
            <w:r>
              <w:rPr>
                <w:rFonts w:ascii="Arial, sans-serif" w:hAnsi="Arial, sans-serif" w:cs="Arial, sans-serif"/>
              </w:rPr>
              <w:t xml:space="preserve"> [0..1]: </w:t>
            </w:r>
            <w:proofErr w:type="spellStart"/>
            <w:r>
              <w:rPr>
                <w:rFonts w:ascii="Arial, sans-serif" w:hAnsi="Arial, sans-serif" w:cs="Arial, sans-serif"/>
              </w:rPr>
              <w:t>ClientFingerprint</w:t>
            </w:r>
            <w:proofErr w:type="spellEnd"/>
          </w:p>
          <w:p w:rsidR="00323F52" w:rsidRDefault="00766D7F">
            <w:pPr>
              <w:pStyle w:val="Standard"/>
              <w:numPr>
                <w:ilvl w:val="0"/>
                <w:numId w:val="112"/>
              </w:numPr>
              <w:snapToGrid w:val="0"/>
              <w:rPr>
                <w:rFonts w:ascii="Arial, sans-serif" w:hAnsi="Arial, sans-serif" w:cs="Arial, sans-serif"/>
              </w:rPr>
            </w:pPr>
            <w:proofErr w:type="spellStart"/>
            <w:r>
              <w:rPr>
                <w:rFonts w:ascii="Arial, sans-serif" w:hAnsi="Arial, sans-serif" w:cs="Arial, sans-serif"/>
              </w:rPr>
              <w:t>clienthealthRecord</w:t>
            </w:r>
            <w:proofErr w:type="spellEnd"/>
            <w:r>
              <w:rPr>
                <w:rFonts w:ascii="Arial, sans-serif" w:hAnsi="Arial, sans-serif" w:cs="Arial, sans-serif"/>
              </w:rPr>
              <w:t xml:space="preserve"> [0..*]: </w:t>
            </w:r>
            <w:proofErr w:type="spellStart"/>
            <w:r>
              <w:rPr>
                <w:rFonts w:ascii="Arial, sans-serif" w:hAnsi="Arial, sans-serif" w:cs="Arial, sans-serif"/>
              </w:rPr>
              <w:t>ClientHealthRecord</w:t>
            </w:r>
            <w:proofErr w:type="spellEnd"/>
          </w:p>
          <w:p w:rsidR="00323F52" w:rsidRDefault="00323F52">
            <w:pPr>
              <w:pStyle w:val="Standard"/>
              <w:snapToGrid w:val="0"/>
              <w:rPr>
                <w:rFonts w:ascii="Arial, sans-serif" w:hAnsi="Arial, sans-serif" w:cs="Arial, sans-serif"/>
              </w:rPr>
            </w:pPr>
          </w:p>
        </w:tc>
      </w:tr>
      <w:tr w:rsidR="00323F52">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5" w:name="ADD-EDXLDistribution112111111"/>
            <w:r>
              <w:rPr>
                <w:rFonts w:ascii="Arial, sans-serif" w:hAnsi="Arial, sans-serif" w:cs="Arial, sans-serif"/>
                <w:b/>
                <w:bCs/>
              </w:rPr>
              <w:t>T</w:t>
            </w:r>
            <w:bookmarkEnd w:id="35"/>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ClientPhotograph</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Photograph of client(patient)</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May use the EDXL-DE ContentObject</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6" w:name="ADD-EDXLDistribution112111112"/>
            <w:r>
              <w:rPr>
                <w:rFonts w:ascii="Arial, sans-serif" w:hAnsi="Arial, sans-serif" w:cs="Arial, sans-serif"/>
                <w:b/>
                <w:bCs/>
              </w:rPr>
              <w:t>T</w:t>
            </w:r>
            <w:bookmarkEnd w:id="36"/>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ClientFingerprint</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Fingerprint of client(patient).</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144"/>
            </w:pPr>
            <w:r>
              <w:t>May be attached to the EDXL-DE</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7" w:name="ADD-EDXLDistribution112111113"/>
            <w:r>
              <w:rPr>
                <w:rFonts w:ascii="Arial, sans-serif" w:hAnsi="Arial, sans-serif" w:cs="Arial, sans-serif"/>
                <w:b/>
                <w:bCs/>
              </w:rPr>
              <w:t>T</w:t>
            </w:r>
            <w:bookmarkEnd w:id="37"/>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ClientHealthRecord</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 xml:space="preserve">A copy of the client(patient)'s electronic health record  or other structured information elements (e.g. additional NEMSIS or HL-7 selected elements - </w:t>
            </w:r>
            <w:proofErr w:type="spellStart"/>
            <w:r>
              <w:rPr>
                <w:rFonts w:ascii="Arial, sans-serif" w:hAnsi="Arial, sans-serif" w:cs="Arial, sans-serif"/>
              </w:rPr>
              <w:t>ValueListURN</w:t>
            </w:r>
            <w:proofErr w:type="spellEnd"/>
            <w:r>
              <w:rPr>
                <w:rFonts w:ascii="Arial, sans-serif" w:hAnsi="Arial, sans-serif" w:cs="Arial, sans-serif"/>
              </w:rPr>
              <w:t>)</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144"/>
            </w:pPr>
            <w:r>
              <w:t>May be attached to the EDXL-DE</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p w:rsidR="00323F52" w:rsidRDefault="00766D7F">
      <w:pPr>
        <w:pStyle w:val="Heading2"/>
      </w:pPr>
      <w:r>
        <w:t>TEP Message</w:t>
      </w:r>
    </w:p>
    <w:p w:rsidR="00323F52" w:rsidRPr="0009317A" w:rsidRDefault="0009317A">
      <w:pPr>
        <w:rPr>
          <w:highlight w:val="yellow"/>
        </w:rPr>
      </w:pPr>
      <w:proofErr w:type="gramStart"/>
      <w:r w:rsidRPr="0009317A">
        <w:rPr>
          <w:highlight w:val="yellow"/>
        </w:rPr>
        <w:t>DEBATED WERNER’S METHODOLOGY BELOW OF SPECIFYING TYPES, VS.</w:t>
      </w:r>
      <w:proofErr w:type="gramEnd"/>
      <w:r w:rsidRPr="0009317A">
        <w:rPr>
          <w:highlight w:val="yellow"/>
        </w:rPr>
        <w:t xml:space="preserve"> ALL PREVIOUS EDXL STANDARDS WHICH SPECIFY ELEMENTS AND ELEMENT DEFINITIONS, AND THEN DEFINE CO</w:t>
      </w:r>
      <w:r w:rsidRPr="0009317A">
        <w:rPr>
          <w:highlight w:val="yellow"/>
        </w:rPr>
        <w:t>M</w:t>
      </w:r>
      <w:r w:rsidRPr="0009317A">
        <w:rPr>
          <w:highlight w:val="yellow"/>
        </w:rPr>
        <w:t>PLEX ELEMENTS WITH SUB-ELEMENTS, AND THEN DEFINE EACH (SUB) ELEMENT.</w:t>
      </w:r>
    </w:p>
    <w:p w:rsidR="0009317A" w:rsidRDefault="0009317A">
      <w:r w:rsidRPr="0009317A">
        <w:rPr>
          <w:highlight w:val="yellow"/>
        </w:rPr>
        <w:t>PATTI AND TIM FEEL PREVIOUS METHODOLOGY (USED FOR ALL EDXL STANDARDS) SHOULD BE APPLIED FOR EASE OF REFERENCE, SIMPLIFICATION, AND CONSISTENCY.  WERNER WANTS TO CHANGE THE WAY DATA DICTIONARIES ARE SPECIFIED.</w:t>
      </w:r>
    </w:p>
    <w:tbl>
      <w:tblPr>
        <w:tblW w:w="10786" w:type="dxa"/>
        <w:tblInd w:w="50" w:type="dxa"/>
        <w:tblLayout w:type="fixed"/>
        <w:tblCellMar>
          <w:left w:w="10" w:type="dxa"/>
          <w:right w:w="10" w:type="dxa"/>
        </w:tblCellMar>
        <w:tblLook w:val="0000" w:firstRow="0" w:lastRow="0" w:firstColumn="0" w:lastColumn="0" w:noHBand="0" w:noVBand="0"/>
      </w:tblPr>
      <w:tblGrid>
        <w:gridCol w:w="1425"/>
        <w:gridCol w:w="9361"/>
      </w:tblGrid>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bookmarkStart w:id="38" w:name="ADD-EDXLDistribution112121"/>
            <w:r>
              <w:rPr>
                <w:rFonts w:ascii="Arial, sans-serif" w:hAnsi="Arial, sans-serif" w:cs="Arial, sans-serif"/>
                <w:b/>
                <w:bCs/>
              </w:rPr>
              <w:t>Element</w:t>
            </w:r>
            <w:bookmarkEnd w:id="38"/>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TEPMessage</w:t>
            </w:r>
            <w:proofErr w:type="spellEnd"/>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xsd:complexType</w:t>
            </w:r>
            <w:proofErr w:type="spellEnd"/>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w:t>
            </w:r>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Group of elements used to uniquely identify a TEP message and its source.</w:t>
            </w:r>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spacing w:after="280"/>
            </w:pPr>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numPr>
                <w:ilvl w:val="0"/>
                <w:numId w:val="113"/>
              </w:numPr>
              <w:snapToGrid w:val="0"/>
              <w:rPr>
                <w:rFonts w:ascii="Arial, sans-serif" w:hAnsi="Arial, sans-serif" w:cs="Arial, sans-serif"/>
              </w:rPr>
            </w:pPr>
            <w:proofErr w:type="spellStart"/>
            <w:r>
              <w:rPr>
                <w:rFonts w:ascii="Arial, sans-serif" w:hAnsi="Arial, sans-serif" w:cs="Arial, sans-serif"/>
              </w:rPr>
              <w:t>messageID</w:t>
            </w:r>
            <w:proofErr w:type="spellEnd"/>
            <w:r>
              <w:rPr>
                <w:rFonts w:ascii="Arial, sans-serif" w:hAnsi="Arial, sans-serif" w:cs="Arial, sans-serif"/>
              </w:rPr>
              <w:t xml:space="preserve"> [1..1]: </w:t>
            </w:r>
            <w:commentRangeStart w:id="39"/>
            <w:r>
              <w:rPr>
                <w:rFonts w:ascii="Arial, sans-serif" w:hAnsi="Arial, sans-serif" w:cs="Arial, sans-serif"/>
              </w:rPr>
              <w:commentReference w:id="39"/>
            </w:r>
            <w:commentRangeEnd w:id="39"/>
            <w:proofErr w:type="spellStart"/>
            <w:r>
              <w:rPr>
                <w:rFonts w:ascii="Arial, sans-serif" w:hAnsi="Arial, sans-serif" w:cs="Arial, sans-serif"/>
                <w:shd w:val="clear" w:color="auto" w:fill="FFFF00"/>
              </w:rPr>
              <w:t>tep</w:t>
            </w:r>
            <w:r>
              <w:rPr>
                <w:rFonts w:ascii="Arial, sans-serif" w:hAnsi="Arial, sans-serif" w:cs="Arial, sans-serif"/>
              </w:rPr>
              <w:t>:MessageID</w:t>
            </w:r>
            <w:proofErr w:type="spellEnd"/>
          </w:p>
          <w:p w:rsidR="00323F52" w:rsidRDefault="00766D7F">
            <w:pPr>
              <w:pStyle w:val="Standard"/>
              <w:numPr>
                <w:ilvl w:val="0"/>
                <w:numId w:val="113"/>
              </w:numPr>
              <w:snapToGrid w:val="0"/>
              <w:rPr>
                <w:rFonts w:ascii="Arial, sans-serif" w:hAnsi="Arial, sans-serif" w:cs="Arial, sans-serif"/>
              </w:rPr>
            </w:pPr>
            <w:proofErr w:type="spellStart"/>
            <w:r>
              <w:rPr>
                <w:rFonts w:ascii="Arial, sans-serif" w:hAnsi="Arial, sans-serif" w:cs="Arial, sans-serif"/>
              </w:rPr>
              <w:t>systemID</w:t>
            </w:r>
            <w:proofErr w:type="spellEnd"/>
            <w:r>
              <w:rPr>
                <w:rFonts w:ascii="Arial, sans-serif" w:hAnsi="Arial, sans-serif" w:cs="Arial, sans-serif"/>
              </w:rPr>
              <w:t xml:space="preserve"> [0..1]: </w:t>
            </w:r>
            <w:proofErr w:type="spellStart"/>
            <w:r>
              <w:rPr>
                <w:rFonts w:ascii="Arial, sans-serif" w:hAnsi="Arial, sans-serif" w:cs="Arial, sans-serif"/>
              </w:rPr>
              <w:t>tep:SystemID</w:t>
            </w:r>
            <w:proofErr w:type="spellEnd"/>
          </w:p>
          <w:p w:rsidR="00323F52" w:rsidRDefault="00766D7F">
            <w:pPr>
              <w:pStyle w:val="Standard"/>
              <w:numPr>
                <w:ilvl w:val="0"/>
                <w:numId w:val="113"/>
              </w:numPr>
              <w:snapToGrid w:val="0"/>
              <w:rPr>
                <w:rFonts w:ascii="Arial, sans-serif" w:hAnsi="Arial, sans-serif" w:cs="Arial, sans-serif"/>
              </w:rPr>
            </w:pPr>
            <w:r>
              <w:rPr>
                <w:rFonts w:ascii="Arial, sans-serif" w:hAnsi="Arial, sans-serif" w:cs="Arial, sans-serif"/>
              </w:rPr>
              <w:t xml:space="preserve">client [1..1]: </w:t>
            </w:r>
            <w:proofErr w:type="spellStart"/>
            <w:r>
              <w:rPr>
                <w:rFonts w:ascii="Arial, sans-serif" w:hAnsi="Arial, sans-serif" w:cs="Arial, sans-serif"/>
              </w:rPr>
              <w:t>tep:ClientType</w:t>
            </w:r>
            <w:proofErr w:type="spellEnd"/>
          </w:p>
          <w:p w:rsidR="00323F52" w:rsidRDefault="00323F52">
            <w:pPr>
              <w:pStyle w:val="Standard"/>
              <w:snapToGrid w:val="0"/>
              <w:rPr>
                <w:rFonts w:ascii="Arial, sans-serif" w:hAnsi="Arial, sans-serif" w:cs="Arial, sans-serif"/>
              </w:rPr>
            </w:pPr>
          </w:p>
        </w:tc>
      </w:tr>
      <w:tr w:rsidR="00323F52">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0" w:name="ADD-EDXLDistribution1121111111"/>
            <w:r>
              <w:rPr>
                <w:rFonts w:ascii="Arial, sans-serif" w:hAnsi="Arial, sans-serif" w:cs="Arial, sans-serif"/>
                <w:b/>
                <w:bCs/>
              </w:rPr>
              <w:t>T</w:t>
            </w:r>
            <w:bookmarkEnd w:id="40"/>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MessageID</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ct:EDXLStringType</w:t>
            </w:r>
            <w:proofErr w:type="spellEnd"/>
            <w:r>
              <w:rPr>
                <w:rFonts w:ascii="Arial, sans-serif" w:hAnsi="Arial, sans-serif" w:cs="Arial, sans-serif"/>
              </w:rPr>
              <w:t xml:space="preserve"> [1..1]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Each TEP message contains an identifier that uniquely identifies the message</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1. The TEP Element contains the "Distribution ID", which identifies the "container" for the distribution message information.</w:t>
            </w:r>
          </w:p>
          <w:p w:rsidR="00323F52" w:rsidRDefault="00766D7F">
            <w:pPr>
              <w:pStyle w:val="Standard"/>
              <w:snapToGrid w:val="0"/>
              <w:spacing w:after="280"/>
            </w:pPr>
            <w:r>
              <w:t>2. Same element as EDXL-RM, EDXL SitRep</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EDXL-SitRep, EDXL-RM</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1" w:name="ADD-EDXLDistribution1121111112"/>
            <w:r>
              <w:rPr>
                <w:rFonts w:ascii="Arial, sans-serif" w:hAnsi="Arial, sans-serif" w:cs="Arial, sans-serif"/>
                <w:b/>
                <w:bCs/>
              </w:rPr>
              <w:t>T</w:t>
            </w:r>
            <w:bookmarkEnd w:id="41"/>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SystemID</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ct:EDXLStringType</w:t>
            </w:r>
            <w:proofErr w:type="spellEnd"/>
            <w:r>
              <w:rPr>
                <w:rFonts w:ascii="Arial, sans-serif" w:hAnsi="Arial, sans-serif" w:cs="Arial, sans-serif"/>
              </w:rPr>
              <w:t xml:space="preserve"> [0..1]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A unique system id, or login credentials of person entering TEP data, used to identify source of the information</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spacing w:after="280"/>
            </w:pP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p w:rsidR="00323F52" w:rsidRDefault="00766D7F">
      <w:pPr>
        <w:pStyle w:val="Heading3"/>
      </w:pPr>
      <w:r>
        <w:t>Client (Patient)</w:t>
      </w:r>
    </w:p>
    <w:p w:rsidR="00323F52" w:rsidRDefault="00323F52"/>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2" w:name="ADD-EDXLDistribution11211111121"/>
            <w:r>
              <w:rPr>
                <w:rFonts w:ascii="Arial, sans-serif" w:hAnsi="Arial, sans-serif" w:cs="Arial, sans-serif"/>
                <w:b/>
                <w:bCs/>
              </w:rPr>
              <w:t>T</w:t>
            </w:r>
            <w:bookmarkEnd w:id="42"/>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ClientType</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xsd:complexType</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Group of elements associated with the person that has  been encountered and determined or suspected to be a p</w:t>
            </w:r>
            <w:r>
              <w:rPr>
                <w:rFonts w:ascii="Arial, sans-serif" w:hAnsi="Arial, sans-serif" w:cs="Arial, sans-serif"/>
              </w:rPr>
              <w:t>a</w:t>
            </w:r>
            <w:r>
              <w:rPr>
                <w:rFonts w:ascii="Arial, sans-serif" w:hAnsi="Arial, sans-serif" w:cs="Arial, sans-serif"/>
              </w:rPr>
              <w:t>tient.    Used to uniquely identify and describe the person</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 xml:space="preserve">About </w:t>
            </w:r>
            <w:proofErr w:type="spellStart"/>
            <w:r>
              <w:t>personalID</w:t>
            </w:r>
            <w:proofErr w:type="spellEnd"/>
            <w:r>
              <w:t>:</w:t>
            </w:r>
          </w:p>
          <w:p w:rsidR="00323F52" w:rsidRDefault="00766D7F">
            <w:pPr>
              <w:pStyle w:val="Standard"/>
              <w:numPr>
                <w:ilvl w:val="0"/>
                <w:numId w:val="114"/>
              </w:numPr>
              <w:snapToGrid w:val="0"/>
              <w:spacing w:after="280"/>
            </w:pPr>
            <w:r>
              <w:t>Definition: describes Type  and form of personal Identification;</w:t>
            </w:r>
          </w:p>
          <w:p w:rsidR="00323F52" w:rsidRDefault="00766D7F">
            <w:pPr>
              <w:pStyle w:val="Standard"/>
              <w:numPr>
                <w:ilvl w:val="0"/>
                <w:numId w:val="114"/>
              </w:numPr>
              <w:snapToGrid w:val="0"/>
              <w:spacing w:after="280"/>
            </w:pPr>
            <w:r>
              <w:t xml:space="preserve">Note:  ID Number and State Issuing </w:t>
            </w:r>
            <w:proofErr w:type="spellStart"/>
            <w:r>
              <w:t>Drivers</w:t>
            </w:r>
            <w:proofErr w:type="spellEnd"/>
            <w:r>
              <w:t xml:space="preserve"> License is captured in </w:t>
            </w:r>
            <w:proofErr w:type="spellStart"/>
            <w:r>
              <w:t>PersonDetailsType</w:t>
            </w:r>
            <w:proofErr w:type="spellEnd"/>
            <w:r>
              <w:t xml:space="preserve"> – TEP may carry multiple forms of identification.  This element may also be used in a ContentObject in the DE to uniquely identify attachments and other information such as a photograph.  Where possible, an exis</w:t>
            </w:r>
            <w:r>
              <w:t>t</w:t>
            </w:r>
            <w:r>
              <w:t>ing vetted list should be offered as defaults, but allow users to extend values on that list, or to use their own value list.</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spacing w:after="280"/>
              <w:rPr>
                <w:rFonts w:ascii="Arial, sans-serif" w:hAnsi="Arial, sans-serif" w:cs="Arial, sans-serif"/>
              </w:rPr>
            </w:pP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clientUniqueID</w:t>
            </w:r>
            <w:proofErr w:type="spellEnd"/>
            <w:r>
              <w:rPr>
                <w:rFonts w:ascii="Arial, sans-serif" w:hAnsi="Arial, sans-serif" w:cs="Arial, sans-serif"/>
              </w:rPr>
              <w:t xml:space="preserve"> [1..*]: </w:t>
            </w:r>
            <w:proofErr w:type="spellStart"/>
            <w:r>
              <w:rPr>
                <w:rFonts w:ascii="Arial, sans-serif" w:hAnsi="Arial, sans-serif" w:cs="Arial, sans-serif"/>
              </w:rPr>
              <w:t>tep:ClientUniqueID</w:t>
            </w:r>
            <w:proofErr w:type="spellEnd"/>
          </w:p>
          <w:p w:rsidR="00323F52" w:rsidRDefault="00766D7F">
            <w:pPr>
              <w:pStyle w:val="Standard"/>
              <w:numPr>
                <w:ilvl w:val="0"/>
                <w:numId w:val="115"/>
              </w:numPr>
              <w:snapToGrid w:val="0"/>
              <w:rPr>
                <w:rFonts w:ascii="Arial, sans-serif" w:hAnsi="Arial, sans-serif" w:cs="Arial, sans-serif"/>
              </w:rPr>
            </w:pPr>
            <w:r>
              <w:rPr>
                <w:rFonts w:ascii="Arial, sans-serif" w:hAnsi="Arial, sans-serif" w:cs="Arial, sans-serif"/>
              </w:rPr>
              <w:t xml:space="preserve">gender [1..1]: </w:t>
            </w:r>
            <w:proofErr w:type="spellStart"/>
            <w:r>
              <w:rPr>
                <w:rFonts w:ascii="Arial, sans-serif" w:hAnsi="Arial, sans-serif" w:cs="Arial, sans-serif"/>
              </w:rPr>
              <w:t>tep:Gender</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raceEthnicity</w:t>
            </w:r>
            <w:proofErr w:type="spellEnd"/>
            <w:r>
              <w:rPr>
                <w:rFonts w:ascii="Arial, sans-serif" w:hAnsi="Arial, sans-serif" w:cs="Arial, sans-serif"/>
              </w:rPr>
              <w:t xml:space="preserve"> [1..*]: </w:t>
            </w:r>
            <w:proofErr w:type="spellStart"/>
            <w:r>
              <w:rPr>
                <w:rFonts w:ascii="Arial, sans-serif" w:hAnsi="Arial, sans-serif" w:cs="Arial, sans-serif"/>
              </w:rPr>
              <w:t>tep:RaceEthnicity</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clientAge</w:t>
            </w:r>
            <w:proofErr w:type="spellEnd"/>
            <w:r>
              <w:rPr>
                <w:rFonts w:ascii="Arial, sans-serif" w:hAnsi="Arial, sans-serif" w:cs="Arial, sans-serif"/>
              </w:rPr>
              <w:t xml:space="preserve"> [1..1]: </w:t>
            </w:r>
            <w:proofErr w:type="spellStart"/>
            <w:r>
              <w:rPr>
                <w:rFonts w:ascii="Arial, sans-serif" w:hAnsi="Arial, sans-serif" w:cs="Arial, sans-serif"/>
              </w:rPr>
              <w:t>tep:ClientAge</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dateOfBirth</w:t>
            </w:r>
            <w:proofErr w:type="spellEnd"/>
            <w:r>
              <w:rPr>
                <w:rFonts w:ascii="Arial, sans-serif" w:hAnsi="Arial, sans-serif" w:cs="Arial, sans-serif"/>
              </w:rPr>
              <w:t xml:space="preserve"> [0..1]: </w:t>
            </w:r>
            <w:proofErr w:type="spellStart"/>
            <w:r>
              <w:rPr>
                <w:rFonts w:ascii="Arial, sans-serif" w:hAnsi="Arial, sans-serif" w:cs="Arial, sans-serif"/>
              </w:rPr>
              <w:t>xs:date</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personalID</w:t>
            </w:r>
            <w:proofErr w:type="spellEnd"/>
            <w:r>
              <w:rPr>
                <w:rFonts w:ascii="Arial, sans-serif" w:hAnsi="Arial, sans-serif" w:cs="Arial, sans-serif"/>
              </w:rPr>
              <w:t xml:space="preserve"> [0..1]: </w:t>
            </w:r>
            <w:proofErr w:type="spellStart"/>
            <w:r>
              <w:rPr>
                <w:rFonts w:ascii="Arial, sans-serif" w:hAnsi="Arial, sans-serif" w:cs="Arial, sans-serif"/>
              </w:rPr>
              <w:t>tep:PersonalID</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hairColor</w:t>
            </w:r>
            <w:proofErr w:type="spellEnd"/>
            <w:r>
              <w:rPr>
                <w:rFonts w:ascii="Arial, sans-serif" w:hAnsi="Arial, sans-serif" w:cs="Arial, sans-serif"/>
              </w:rPr>
              <w:t xml:space="preserve"> [0..1]: </w:t>
            </w:r>
            <w:proofErr w:type="spellStart"/>
            <w:r>
              <w:rPr>
                <w:rFonts w:ascii="Arial, sans-serif" w:hAnsi="Arial, sans-serif" w:cs="Arial, sans-serif"/>
              </w:rPr>
              <w:t>tep:HairColor</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eyeColor</w:t>
            </w:r>
            <w:proofErr w:type="spellEnd"/>
            <w:r>
              <w:rPr>
                <w:rFonts w:ascii="Arial, sans-serif" w:hAnsi="Arial, sans-serif" w:cs="Arial, sans-serif"/>
              </w:rPr>
              <w:t xml:space="preserve"> [0..1]: </w:t>
            </w:r>
            <w:proofErr w:type="spellStart"/>
            <w:r>
              <w:rPr>
                <w:rFonts w:ascii="Arial, sans-serif" w:hAnsi="Arial, sans-serif" w:cs="Arial, sans-serif"/>
              </w:rPr>
              <w:t>tep:EyeColor</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distinguishingMarks</w:t>
            </w:r>
            <w:proofErr w:type="spellEnd"/>
            <w:r>
              <w:rPr>
                <w:rFonts w:ascii="Arial, sans-serif" w:hAnsi="Arial, sans-serif" w:cs="Arial, sans-serif"/>
              </w:rPr>
              <w:t xml:space="preserve"> [0..1]: </w:t>
            </w:r>
            <w:proofErr w:type="spellStart"/>
            <w:r>
              <w:rPr>
                <w:rFonts w:ascii="Arial, sans-serif" w:hAnsi="Arial, sans-serif" w:cs="Arial, sans-serif"/>
              </w:rPr>
              <w:t>tep:DistinguishingMarks</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primarySpokenLanguage</w:t>
            </w:r>
            <w:proofErr w:type="spellEnd"/>
            <w:r>
              <w:rPr>
                <w:rFonts w:ascii="Arial, sans-serif" w:hAnsi="Arial, sans-serif" w:cs="Arial, sans-serif"/>
              </w:rPr>
              <w:t xml:space="preserve"> [0..1]: </w:t>
            </w:r>
            <w:proofErr w:type="spellStart"/>
            <w:r>
              <w:rPr>
                <w:rFonts w:ascii="Arial, sans-serif" w:hAnsi="Arial, sans-serif" w:cs="Arial, sans-serif"/>
              </w:rPr>
              <w:t>tep:PrimarySpokenLanguage</w:t>
            </w:r>
            <w:proofErr w:type="spellEnd"/>
          </w:p>
          <w:p w:rsidR="00323F52" w:rsidRDefault="00766D7F">
            <w:pPr>
              <w:pStyle w:val="Standard"/>
              <w:numPr>
                <w:ilvl w:val="0"/>
                <w:numId w:val="115"/>
              </w:numPr>
              <w:snapToGrid w:val="0"/>
              <w:rPr>
                <w:rFonts w:ascii="Arial, sans-serif" w:hAnsi="Arial, sans-serif" w:cs="Arial, sans-serif"/>
              </w:rPr>
            </w:pPr>
            <w:r>
              <w:rPr>
                <w:rFonts w:ascii="Arial, sans-serif" w:hAnsi="Arial, sans-serif" w:cs="Arial, sans-serif"/>
                <w:i/>
                <w:iCs/>
              </w:rPr>
              <w:t>… more</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3" w:name="ADD-EDXLDistribution112111111211"/>
            <w:r>
              <w:rPr>
                <w:rFonts w:ascii="Arial, sans-serif" w:hAnsi="Arial, sans-serif" w:cs="Arial, sans-serif"/>
                <w:b/>
                <w:bCs/>
              </w:rPr>
              <w:t>T</w:t>
            </w:r>
            <w:bookmarkEnd w:id="43"/>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commentRangeStart w:id="44"/>
            <w:r>
              <w:rPr>
                <w:rFonts w:ascii="Arial, sans-serif" w:hAnsi="Arial, sans-serif" w:cs="Arial, sans-serif"/>
                <w:b/>
                <w:bCs/>
                <w:color w:val="0033FF"/>
              </w:rPr>
              <w:commentReference w:id="44"/>
            </w:r>
            <w:commentRangeEnd w:id="44"/>
            <w:proofErr w:type="spellStart"/>
            <w:r>
              <w:rPr>
                <w:rFonts w:ascii="Arial, sans-serif" w:hAnsi="Arial, sans-serif" w:cs="Arial, sans-serif"/>
                <w:b/>
                <w:bCs/>
                <w:color w:val="0033FF"/>
              </w:rPr>
              <w:t>ClientUniqueID</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xsd:complexType</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Pairs ID and ID source:</w:t>
            </w:r>
          </w:p>
          <w:p w:rsidR="00323F52" w:rsidRDefault="00766D7F">
            <w:pPr>
              <w:pStyle w:val="Standard"/>
              <w:numPr>
                <w:ilvl w:val="0"/>
                <w:numId w:val="116"/>
              </w:numPr>
              <w:snapToGrid w:val="0"/>
              <w:spacing w:after="280"/>
              <w:rPr>
                <w:rFonts w:ascii="Arial, sans-serif" w:hAnsi="Arial, sans-serif" w:cs="Arial, sans-serif"/>
              </w:rPr>
            </w:pPr>
            <w:r>
              <w:rPr>
                <w:rFonts w:ascii="Arial, sans-serif" w:hAnsi="Arial, sans-serif" w:cs="Arial, sans-serif"/>
              </w:rPr>
              <w:t>ID: A number or code issued to each client(patient) encountered; used as a unique identifier of the patient.</w:t>
            </w:r>
          </w:p>
          <w:p w:rsidR="00323F52" w:rsidRDefault="00766D7F">
            <w:pPr>
              <w:pStyle w:val="Standard"/>
              <w:numPr>
                <w:ilvl w:val="0"/>
                <w:numId w:val="116"/>
              </w:numPr>
              <w:snapToGrid w:val="0"/>
              <w:spacing w:after="280"/>
              <w:rPr>
                <w:rFonts w:ascii="Arial, sans-serif" w:hAnsi="Arial, sans-serif" w:cs="Arial, sans-serif"/>
              </w:rPr>
            </w:pPr>
            <w:r>
              <w:rPr>
                <w:rFonts w:ascii="Arial, sans-serif" w:hAnsi="Arial, sans-serif" w:cs="Arial, sans-serif"/>
              </w:rPr>
              <w:t xml:space="preserve">A notation identifying the source of the client(patient)'s unique identification number, to describe the source (who, what or where) that created the </w:t>
            </w:r>
            <w:proofErr w:type="spellStart"/>
            <w:r>
              <w:rPr>
                <w:rFonts w:ascii="Arial, sans-serif" w:hAnsi="Arial, sans-serif" w:cs="Arial, sans-serif"/>
              </w:rPr>
              <w:t>clientUniqueIDNumber</w:t>
            </w:r>
            <w:proofErr w:type="spellEnd"/>
            <w:r>
              <w:rPr>
                <w:rFonts w:ascii="Arial, sans-serif" w:hAnsi="Arial, sans-serif" w:cs="Arial, sans-serif"/>
              </w:rPr>
              <w:t>.</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numPr>
                <w:ilvl w:val="0"/>
                <w:numId w:val="117"/>
              </w:numPr>
              <w:snapToGrid w:val="0"/>
              <w:spacing w:after="280"/>
            </w:pPr>
            <w:r>
              <w:t xml:space="preserve">ID: The </w:t>
            </w:r>
            <w:proofErr w:type="spellStart"/>
            <w:r>
              <w:t>clientUniqueIDNumber</w:t>
            </w:r>
            <w:proofErr w:type="spellEnd"/>
            <w:r>
              <w:t xml:space="preserve"> element may also be used in a ContentObject in the DE to uniquely identify attachments and other information such as a photograph.  This element is always paired with </w:t>
            </w:r>
            <w:proofErr w:type="spellStart"/>
            <w:r>
              <w:t>clientUniqueIDNumberSource</w:t>
            </w:r>
            <w:proofErr w:type="spellEnd"/>
            <w:r>
              <w:t xml:space="preserve"> whether one or multiple instances of the pair are used.</w:t>
            </w:r>
          </w:p>
          <w:p w:rsidR="00323F52" w:rsidRDefault="00766D7F">
            <w:pPr>
              <w:pStyle w:val="Standard"/>
              <w:numPr>
                <w:ilvl w:val="0"/>
                <w:numId w:val="117"/>
              </w:numPr>
              <w:snapToGrid w:val="0"/>
              <w:spacing w:after="280"/>
            </w:pPr>
            <w:r>
              <w:t xml:space="preserve">ID </w:t>
            </w:r>
            <w:proofErr w:type="spellStart"/>
            <w:r>
              <w:t>source:This</w:t>
            </w:r>
            <w:proofErr w:type="spellEnd"/>
            <w:r>
              <w:t xml:space="preserve"> element is always paired with </w:t>
            </w:r>
            <w:proofErr w:type="spellStart"/>
            <w:r>
              <w:t>clientUniqueIDNumber</w:t>
            </w:r>
            <w:proofErr w:type="spellEnd"/>
            <w:r>
              <w:t xml:space="preserve"> whether one or multiple instances of the pair are used.</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"Source" Example:  State of Maryland, JPTAS System, Hampshire County, WV, State of TN, NDMS etc.</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5" w:name="ADD-EDXLDistribution1121111112111"/>
            <w:r>
              <w:rPr>
                <w:rFonts w:ascii="Arial, sans-serif" w:hAnsi="Arial, sans-serif" w:cs="Arial, sans-serif"/>
                <w:b/>
                <w:bCs/>
              </w:rPr>
              <w:t>T</w:t>
            </w:r>
            <w:bookmarkEnd w:id="45"/>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r>
              <w:rPr>
                <w:rFonts w:ascii="Arial, sans-serif" w:hAnsi="Arial, sans-serif" w:cs="Arial, sans-serif"/>
                <w:b/>
                <w:bCs/>
                <w:color w:val="0033FF"/>
              </w:rPr>
              <w:t>Gender</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commentRangeStart w:id="46"/>
            <w:r>
              <w:rPr>
                <w:rFonts w:ascii="Arial, sans-serif" w:hAnsi="Arial, sans-serif" w:cs="Arial, sans-serif"/>
              </w:rPr>
              <w:commentReference w:id="46"/>
            </w:r>
            <w:commentRangeEnd w:id="46"/>
            <w:proofErr w:type="spellStart"/>
            <w:r>
              <w:rPr>
                <w:rFonts w:ascii="Arial, sans-serif" w:hAnsi="Arial, sans-serif" w:cs="Arial, sans-serif"/>
              </w:rPr>
              <w:t>ct:ValueKeyType</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The client(patient) gender</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Where possible, an existing vetted list should be offered as defaults, but allow users to extend values on that list, or to use their own value list.  NOTE:  Data Type is intended to specify an enumerated list of values to choose from…</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Male, Female, Unknown</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7" w:name="ADD-EDXLDistribution11211111121111"/>
            <w:r>
              <w:rPr>
                <w:rFonts w:ascii="Arial, sans-serif" w:hAnsi="Arial, sans-serif" w:cs="Arial, sans-serif"/>
                <w:b/>
                <w:bCs/>
              </w:rPr>
              <w:t>T</w:t>
            </w:r>
            <w:bookmarkEnd w:id="47"/>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RaceEthnicity</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ct:ValueListType</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The client(patient) race/ethnicity as defined by the OMB (US Office of Management and Budget)</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Where possible, an existing vetted list should be offered as defaults, but allow users to extend values on that list, or to use their own value list (NOTE:  check Usage in the referenced OMB standard)</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Example:  White, African American, Asian, Hispanic/Latino</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8" w:name="ADD-EDXLDistribution112111111211111"/>
            <w:r>
              <w:rPr>
                <w:rFonts w:ascii="Arial, sans-serif" w:hAnsi="Arial, sans-serif" w:cs="Arial, sans-serif"/>
                <w:b/>
                <w:bCs/>
              </w:rPr>
              <w:t>T</w:t>
            </w:r>
            <w:bookmarkEnd w:id="48"/>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ClientAge</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xsd:complexType</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Pairs age and estimated</w:t>
            </w:r>
          </w:p>
          <w:p w:rsidR="00323F52" w:rsidRDefault="00766D7F">
            <w:pPr>
              <w:pStyle w:val="Standard"/>
              <w:numPr>
                <w:ilvl w:val="0"/>
                <w:numId w:val="118"/>
              </w:numPr>
              <w:snapToGrid w:val="0"/>
              <w:rPr>
                <w:rFonts w:ascii="Arial, sans-serif" w:hAnsi="Arial, sans-serif" w:cs="Arial, sans-serif"/>
              </w:rPr>
            </w:pPr>
            <w:r>
              <w:rPr>
                <w:rFonts w:ascii="Arial, sans-serif" w:hAnsi="Arial, sans-serif" w:cs="Arial, sans-serif"/>
              </w:rPr>
              <w:t xml:space="preserve">The client(patient) age, either calculated from date of birth or best approximation is </w:t>
            </w:r>
            <w:proofErr w:type="spellStart"/>
            <w:r>
              <w:rPr>
                <w:rFonts w:ascii="Arial, sans-serif" w:hAnsi="Arial, sans-serif" w:cs="Arial, sans-serif"/>
              </w:rPr>
              <w:t>appropirate</w:t>
            </w:r>
            <w:proofErr w:type="spellEnd"/>
            <w:r>
              <w:rPr>
                <w:rFonts w:ascii="Arial, sans-serif" w:hAnsi="Arial, sans-serif" w:cs="Arial, sans-serif"/>
              </w:rPr>
              <w:t xml:space="preserve"> in situ</w:t>
            </w:r>
            <w:r>
              <w:rPr>
                <w:rFonts w:ascii="Arial, sans-serif" w:hAnsi="Arial, sans-serif" w:cs="Arial, sans-serif"/>
              </w:rPr>
              <w:t>a</w:t>
            </w:r>
            <w:r>
              <w:rPr>
                <w:rFonts w:ascii="Arial, sans-serif" w:hAnsi="Arial, sans-serif" w:cs="Arial, sans-serif"/>
              </w:rPr>
              <w:t>tions where it is not possible to ascertain exact age.</w:t>
            </w:r>
          </w:p>
          <w:p w:rsidR="00323F52" w:rsidRDefault="00766D7F">
            <w:pPr>
              <w:pStyle w:val="Standard"/>
              <w:numPr>
                <w:ilvl w:val="0"/>
                <w:numId w:val="118"/>
              </w:numPr>
              <w:snapToGrid w:val="0"/>
              <w:rPr>
                <w:rFonts w:ascii="Arial, sans-serif" w:hAnsi="Arial, sans-serif" w:cs="Arial, sans-serif"/>
              </w:rPr>
            </w:pPr>
            <w:r>
              <w:rPr>
                <w:rFonts w:ascii="Arial, sans-serif" w:hAnsi="Arial, sans-serif" w:cs="Arial, sans-serif"/>
              </w:rPr>
              <w:t>Estimated: valid values Y, N</w:t>
            </w:r>
          </w:p>
          <w:p w:rsidR="00323F52" w:rsidRDefault="00766D7F">
            <w:pPr>
              <w:pStyle w:val="Standard"/>
              <w:numPr>
                <w:ilvl w:val="0"/>
                <w:numId w:val="118"/>
              </w:numPr>
              <w:snapToGrid w:val="0"/>
              <w:rPr>
                <w:rFonts w:ascii="Arial, sans-serif" w:hAnsi="Arial, sans-serif" w:cs="Arial, sans-serif"/>
              </w:rPr>
            </w:pPr>
            <w:r>
              <w:rPr>
                <w:rFonts w:ascii="Arial, sans-serif" w:hAnsi="Arial, sans-serif" w:cs="Arial, sans-serif"/>
              </w:rPr>
              <w:t>Choice of</w:t>
            </w:r>
          </w:p>
          <w:p w:rsidR="00323F52" w:rsidRDefault="00766D7F">
            <w:pPr>
              <w:pStyle w:val="Standard"/>
              <w:numPr>
                <w:ilvl w:val="0"/>
                <w:numId w:val="119"/>
              </w:numPr>
              <w:snapToGrid w:val="0"/>
              <w:rPr>
                <w:rFonts w:ascii="Arial, sans-serif" w:hAnsi="Arial, sans-serif" w:cs="Arial, sans-serif"/>
              </w:rPr>
            </w:pPr>
            <w:r>
              <w:rPr>
                <w:rFonts w:ascii="Arial, sans-serif" w:hAnsi="Arial, sans-serif" w:cs="Arial, sans-serif"/>
              </w:rPr>
              <w:t>units: The units which the age is documented in</w:t>
            </w:r>
          </w:p>
          <w:p w:rsidR="00323F52" w:rsidRDefault="00766D7F">
            <w:pPr>
              <w:pStyle w:val="Standard"/>
              <w:numPr>
                <w:ilvl w:val="0"/>
                <w:numId w:val="119"/>
              </w:numPr>
              <w:snapToGrid w:val="0"/>
              <w:rPr>
                <w:rFonts w:ascii="Arial, sans-serif" w:hAnsi="Arial, sans-serif" w:cs="Arial, sans-serif"/>
              </w:rPr>
            </w:pPr>
            <w:proofErr w:type="spellStart"/>
            <w:r>
              <w:rPr>
                <w:rFonts w:ascii="Arial, sans-serif" w:hAnsi="Arial, sans-serif" w:cs="Arial, sans-serif"/>
              </w:rPr>
              <w:t>unitsDefault</w:t>
            </w:r>
            <w:proofErr w:type="spellEnd"/>
            <w:r>
              <w:rPr>
                <w:rFonts w:ascii="Arial, sans-serif" w:hAnsi="Arial, sans-serif" w:cs="Arial, sans-serif"/>
              </w:rPr>
              <w:t>: Default age units</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Complex Type top level "</w:t>
            </w:r>
            <w:proofErr w:type="spellStart"/>
            <w:r>
              <w:t>clientAge</w:t>
            </w:r>
            <w:proofErr w:type="spellEnd"/>
            <w:r>
              <w:t xml:space="preserve">" contains age, Estimated, and </w:t>
            </w:r>
            <w:proofErr w:type="spellStart"/>
            <w:r>
              <w:t>ageUnits</w:t>
            </w:r>
            <w:proofErr w:type="spellEnd"/>
            <w:r>
              <w:t>.</w:t>
            </w:r>
          </w:p>
          <w:p w:rsidR="00323F52" w:rsidRDefault="00766D7F">
            <w:pPr>
              <w:pStyle w:val="Standard"/>
              <w:snapToGrid w:val="0"/>
              <w:spacing w:after="280"/>
            </w:pPr>
            <w:r>
              <w:t>About units/</w:t>
            </w:r>
            <w:proofErr w:type="spellStart"/>
            <w:r>
              <w:t>unitsDefault</w:t>
            </w:r>
            <w:proofErr w:type="spellEnd"/>
            <w:r>
              <w:t>: where possible, an existing vetted list should be offered as defaults, but allow users to extend values on that list, or to use their own value list</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for</w:t>
            </w:r>
          </w:p>
          <w:p w:rsidR="00323F52" w:rsidRDefault="00766D7F">
            <w:pPr>
              <w:pStyle w:val="Standard"/>
              <w:numPr>
                <w:ilvl w:val="0"/>
                <w:numId w:val="120"/>
              </w:numPr>
              <w:snapToGrid w:val="0"/>
            </w:pPr>
            <w:r>
              <w:rPr>
                <w:rFonts w:ascii="Arial, sans-serif" w:hAnsi="Arial, sans-serif" w:cs="Arial, sans-serif"/>
              </w:rPr>
              <w:t>Units: Hours, Days, Months, Years</w:t>
            </w:r>
          </w:p>
          <w:p w:rsidR="00323F52" w:rsidRDefault="00766D7F">
            <w:pPr>
              <w:pStyle w:val="Standard"/>
              <w:numPr>
                <w:ilvl w:val="0"/>
                <w:numId w:val="120"/>
              </w:numPr>
              <w:snapToGrid w:val="0"/>
            </w:pPr>
            <w:proofErr w:type="spellStart"/>
            <w:r>
              <w:rPr>
                <w:rFonts w:ascii="Arial, sans-serif" w:hAnsi="Arial, sans-serif" w:cs="Arial, sans-serif"/>
              </w:rPr>
              <w:t>unitsDefaults</w:t>
            </w:r>
            <w:proofErr w:type="spellEnd"/>
            <w:r>
              <w:rPr>
                <w:rFonts w:ascii="Arial, sans-serif" w:hAnsi="Arial, sans-serif" w:cs="Arial, sans-serif"/>
              </w:rPr>
              <w:t>: Hours, Days, Months, Years</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numPr>
                <w:ilvl w:val="0"/>
                <w:numId w:val="121"/>
              </w:numPr>
              <w:snapToGrid w:val="0"/>
              <w:rPr>
                <w:rFonts w:ascii="Arial, sans-serif" w:hAnsi="Arial, sans-serif" w:cs="Arial, sans-serif"/>
              </w:rPr>
            </w:pPr>
            <w:r>
              <w:rPr>
                <w:rFonts w:ascii="Arial, sans-serif" w:hAnsi="Arial, sans-serif" w:cs="Arial, sans-serif"/>
              </w:rPr>
              <w:t xml:space="preserve">age [1..1]: </w:t>
            </w:r>
            <w:proofErr w:type="spellStart"/>
            <w:r>
              <w:rPr>
                <w:rFonts w:ascii="Arial, sans-serif" w:hAnsi="Arial, sans-serif" w:cs="Arial, sans-serif"/>
              </w:rPr>
              <w:t>xs:unsignedint</w:t>
            </w:r>
            <w:proofErr w:type="spellEnd"/>
          </w:p>
          <w:p w:rsidR="00323F52" w:rsidRDefault="00766D7F">
            <w:pPr>
              <w:pStyle w:val="Standard"/>
              <w:numPr>
                <w:ilvl w:val="0"/>
                <w:numId w:val="121"/>
              </w:numPr>
              <w:snapToGrid w:val="0"/>
              <w:rPr>
                <w:rFonts w:ascii="Arial, sans-serif" w:hAnsi="Arial, sans-serif" w:cs="Arial, sans-serif"/>
              </w:rPr>
            </w:pPr>
            <w:r>
              <w:rPr>
                <w:rFonts w:ascii="Arial, sans-serif" w:hAnsi="Arial, sans-serif" w:cs="Arial, sans-serif"/>
              </w:rPr>
              <w:t xml:space="preserve">estimated [0..1]: </w:t>
            </w:r>
            <w:proofErr w:type="spellStart"/>
            <w:r>
              <w:rPr>
                <w:rFonts w:ascii="Arial, sans-serif" w:hAnsi="Arial, sans-serif" w:cs="Arial, sans-serif"/>
              </w:rPr>
              <w:t>ct:EstimateType</w:t>
            </w:r>
            <w:proofErr w:type="spellEnd"/>
          </w:p>
          <w:p w:rsidR="00323F52" w:rsidRDefault="00766D7F">
            <w:pPr>
              <w:pStyle w:val="Standard"/>
              <w:numPr>
                <w:ilvl w:val="0"/>
                <w:numId w:val="121"/>
              </w:numPr>
              <w:snapToGrid w:val="0"/>
              <w:rPr>
                <w:rFonts w:ascii="Arial, sans-serif" w:hAnsi="Arial, sans-serif" w:cs="Arial, sans-serif"/>
              </w:rPr>
            </w:pPr>
            <w:r>
              <w:rPr>
                <w:rFonts w:ascii="Arial, sans-serif" w:hAnsi="Arial, sans-serif" w:cs="Arial, sans-serif"/>
                <w:i/>
                <w:iCs/>
              </w:rPr>
              <w:t>choice</w:t>
            </w:r>
            <w:r>
              <w:rPr>
                <w:rFonts w:ascii="Arial, sans-serif" w:hAnsi="Arial, sans-serif" w:cs="Arial, sans-serif"/>
              </w:rPr>
              <w:t>:</w:t>
            </w:r>
          </w:p>
          <w:p w:rsidR="00323F52" w:rsidRDefault="00766D7F">
            <w:pPr>
              <w:pStyle w:val="Standard"/>
              <w:numPr>
                <w:ilvl w:val="0"/>
                <w:numId w:val="121"/>
              </w:numPr>
              <w:snapToGrid w:val="0"/>
              <w:ind w:left="1440" w:hanging="360"/>
              <w:rPr>
                <w:rFonts w:ascii="Arial, sans-serif" w:hAnsi="Arial, sans-serif" w:cs="Arial, sans-serif"/>
              </w:rPr>
            </w:pPr>
            <w:r>
              <w:rPr>
                <w:rFonts w:ascii="Arial, sans-serif" w:hAnsi="Arial, sans-serif" w:cs="Arial, sans-serif"/>
              </w:rPr>
              <w:t xml:space="preserve">units [1..1]: </w:t>
            </w:r>
            <w:proofErr w:type="spellStart"/>
            <w:r>
              <w:rPr>
                <w:rFonts w:ascii="Arial, sans-serif" w:hAnsi="Arial, sans-serif" w:cs="Arial, sans-serif"/>
              </w:rPr>
              <w:t>ct:ValueKeyType</w:t>
            </w:r>
            <w:proofErr w:type="spellEnd"/>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9" w:name="ADD-EDXLDistribution1121111112111111"/>
            <w:r>
              <w:rPr>
                <w:rFonts w:ascii="Arial, sans-serif" w:hAnsi="Arial, sans-serif" w:cs="Arial, sans-serif"/>
                <w:b/>
                <w:bCs/>
              </w:rPr>
              <w:t>T</w:t>
            </w:r>
            <w:bookmarkEnd w:id="49"/>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PersonalID</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ct:PersonDetailsType</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spacing w:after="280"/>
            </w:pPr>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spacing w:after="280"/>
              <w:rPr>
                <w:rFonts w:ascii="Arial, sans-serif" w:hAnsi="Arial, sans-serif" w:cs="Arial, sans-serif"/>
              </w:rPr>
            </w:pPr>
            <w:r>
              <w:rPr>
                <w:rFonts w:ascii="Arial, sans-serif" w:hAnsi="Arial, sans-serif" w:cs="Arial, sans-serif"/>
              </w:rPr>
              <w:t xml:space="preserve">Examples:  </w:t>
            </w:r>
            <w:proofErr w:type="spellStart"/>
            <w:r>
              <w:rPr>
                <w:rFonts w:ascii="Arial, sans-serif" w:hAnsi="Arial, sans-serif" w:cs="Arial, sans-serif"/>
              </w:rPr>
              <w:t>Drivers</w:t>
            </w:r>
            <w:proofErr w:type="spellEnd"/>
            <w:r>
              <w:rPr>
                <w:rFonts w:ascii="Arial, sans-serif" w:hAnsi="Arial, sans-serif" w:cs="Arial, sans-serif"/>
              </w:rPr>
              <w:t xml:space="preserve"> License, Social Security Card, Passport, Military ID, </w:t>
            </w:r>
            <w:proofErr w:type="spellStart"/>
            <w:r>
              <w:rPr>
                <w:rFonts w:ascii="Arial, sans-serif" w:hAnsi="Arial, sans-serif" w:cs="Arial, sans-serif"/>
              </w:rPr>
              <w:t>etc</w:t>
            </w:r>
            <w:proofErr w:type="spellEnd"/>
          </w:p>
        </w:tc>
      </w:tr>
      <w:tr w:rsidR="00323F52">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p w:rsidR="00323F52" w:rsidRDefault="00323F52">
      <w:pPr>
        <w:pStyle w:val="Standard"/>
      </w:pPr>
    </w:p>
    <w:p w:rsidR="00323F52" w:rsidRDefault="00766D7F">
      <w:pPr>
        <w:pStyle w:val="Heading3"/>
      </w:pPr>
      <w:r>
        <w:t>Situation</w:t>
      </w:r>
    </w:p>
    <w:p w:rsidR="00323F52" w:rsidRDefault="00323F52"/>
    <w:p w:rsidR="00323F52" w:rsidRDefault="00323F52"/>
    <w:p w:rsidR="00323F52" w:rsidRDefault="00766D7F">
      <w:pPr>
        <w:pStyle w:val="Heading3"/>
      </w:pPr>
      <w:r>
        <w:t>Care Provider</w:t>
      </w:r>
    </w:p>
    <w:p w:rsidR="00323F52" w:rsidRDefault="00323F52"/>
    <w:p w:rsidR="00323F52" w:rsidRDefault="00323F52"/>
    <w:p w:rsidR="00323F52" w:rsidRDefault="00766D7F">
      <w:pPr>
        <w:pStyle w:val="Heading3"/>
      </w:pPr>
      <w:r>
        <w:t>Transport</w:t>
      </w:r>
    </w:p>
    <w:p w:rsidR="00323F52" w:rsidRDefault="00323F52"/>
    <w:p w:rsidR="00323F52" w:rsidRDefault="00323F52"/>
    <w:p w:rsidR="00323F52" w:rsidRDefault="00766D7F">
      <w:pPr>
        <w:pStyle w:val="Heading3"/>
      </w:pPr>
      <w:r>
        <w:t>Client Encounter</w:t>
      </w:r>
    </w:p>
    <w:p w:rsidR="00323F52" w:rsidRDefault="00323F52"/>
    <w:p w:rsidR="00323F52" w:rsidRDefault="00323F52"/>
    <w:p w:rsidR="00323F52" w:rsidRDefault="00766D7F">
      <w:pPr>
        <w:pStyle w:val="Heading3"/>
      </w:pPr>
      <w:r>
        <w:t>Client Care</w:t>
      </w:r>
    </w:p>
    <w:p w:rsidR="00323F52" w:rsidRDefault="00323F52"/>
    <w:p w:rsidR="00323F52" w:rsidRDefault="00323F52"/>
    <w:p w:rsidR="00323F52" w:rsidRDefault="00766D7F">
      <w:pPr>
        <w:pStyle w:val="Heading3"/>
      </w:pPr>
      <w:r>
        <w:t>Client Transfer</w:t>
      </w:r>
    </w:p>
    <w:p w:rsidR="00323F52" w:rsidRDefault="00323F52"/>
    <w:p w:rsidR="00323F52" w:rsidRDefault="00323F52"/>
    <w:p w:rsidR="00323F52" w:rsidRDefault="00323F52"/>
    <w:p w:rsidR="00323F52" w:rsidRDefault="00766D7F">
      <w:pPr>
        <w:pStyle w:val="Heading2"/>
      </w:pPr>
      <w:bookmarkStart w:id="50" w:name="__RefHeading__1408_291491422"/>
      <w:r>
        <w:t>Glossary / List of Acronyms</w:t>
      </w:r>
      <w:bookmarkEnd w:id="50"/>
    </w:p>
    <w:p w:rsidR="00323F52" w:rsidRDefault="00766D7F">
      <w:r>
        <w:t>NOTE: Glossary definitions contained herein are not intended to supersede existing definitions by any other organ</w:t>
      </w:r>
      <w:r>
        <w:t>i</w:t>
      </w:r>
      <w:r>
        <w:t>zation or agency.  Rather, these glossary items are provided in context of defining the EDXL-TEP draft messaging standard - solely in order to clarify requirements statements.</w:t>
      </w:r>
    </w:p>
    <w:p w:rsidR="00323F52" w:rsidRDefault="00323F52"/>
    <w:p w:rsidR="00323F52" w:rsidRDefault="00766D7F">
      <w:pPr>
        <w:pStyle w:val="Textbody"/>
      </w:pPr>
      <w:r>
        <w:rPr>
          <w:b/>
        </w:rPr>
        <w:t>TERM OR ACRONYM</w:t>
      </w:r>
      <w:r>
        <w:t>    DEFINITION        </w:t>
      </w:r>
    </w:p>
    <w:p w:rsidR="00323F52" w:rsidRDefault="00766D7F">
      <w:pPr>
        <w:pStyle w:val="Textbody"/>
      </w:pPr>
      <w:r>
        <w:rPr>
          <w:b/>
        </w:rPr>
        <w:t>ACH</w:t>
      </w:r>
      <w:r>
        <w:t>           Automated Clearing House    </w:t>
      </w:r>
    </w:p>
    <w:p w:rsidR="00323F52" w:rsidRDefault="00766D7F">
      <w:pPr>
        <w:pStyle w:val="Textbody"/>
      </w:pPr>
      <w:r>
        <w:rPr>
          <w:b/>
        </w:rPr>
        <w:t>Ack</w:t>
      </w:r>
      <w:r>
        <w:t>            Acknowledgment       </w:t>
      </w:r>
    </w:p>
    <w:p w:rsidR="00323F52" w:rsidRDefault="00766D7F">
      <w:pPr>
        <w:pStyle w:val="Textbody"/>
      </w:pPr>
      <w:r>
        <w:rPr>
          <w:b/>
        </w:rPr>
        <w:t>CAD</w:t>
      </w:r>
      <w:r>
        <w:t>           Computer Aided Dispatch      </w:t>
      </w:r>
    </w:p>
    <w:p w:rsidR="00323F52" w:rsidRDefault="00766D7F">
      <w:pPr>
        <w:pStyle w:val="Textbody"/>
      </w:pPr>
      <w:r>
        <w:rPr>
          <w:b/>
        </w:rPr>
        <w:t>CAP</w:t>
      </w:r>
      <w:r>
        <w:t>           Common Alerting Protocol     </w:t>
      </w:r>
    </w:p>
    <w:p w:rsidR="00323F52" w:rsidRDefault="00766D7F">
      <w:pPr>
        <w:pStyle w:val="Textbody"/>
      </w:pPr>
      <w:r>
        <w:rPr>
          <w:b/>
        </w:rPr>
        <w:t>CBRNE</w:t>
      </w:r>
      <w:r>
        <w:t>       Chemical, Biological, Radiological, and Nuclear          </w:t>
      </w:r>
    </w:p>
    <w:p w:rsidR="00323F52" w:rsidRDefault="00766D7F">
      <w:pPr>
        <w:pStyle w:val="Textbody"/>
      </w:pPr>
      <w:r>
        <w:rPr>
          <w:b/>
        </w:rPr>
        <w:t>CDC</w:t>
      </w:r>
      <w:r>
        <w:t>           Center For Disease Control    </w:t>
      </w:r>
    </w:p>
    <w:p w:rsidR="00323F52" w:rsidRDefault="00766D7F">
      <w:pPr>
        <w:pStyle w:val="Textbody"/>
      </w:pPr>
      <w:r>
        <w:rPr>
          <w:b/>
        </w:rPr>
        <w:t>CIQ</w:t>
      </w:r>
      <w:r>
        <w:t>            Customer Information Quality (a “contact information” standard)          </w:t>
      </w:r>
    </w:p>
    <w:p w:rsidR="00323F52" w:rsidRDefault="00766D7F">
      <w:pPr>
        <w:pStyle w:val="Textbody"/>
      </w:pPr>
      <w:r>
        <w:rPr>
          <w:b/>
        </w:rPr>
        <w:t>Complex Incident</w:t>
      </w:r>
      <w:r>
        <w:t>         A “complex” incident refers to “a series of situations or events that result in one incident” (Source:  NIMS).  Put another way, a complex incident may consist of one or more independen</w:t>
      </w:r>
      <w:r>
        <w:t>t</w:t>
      </w:r>
      <w:r>
        <w:t>ly identified events and/or situations and/or incidents that require tracking and information exchange both as individual occurrences and combined for the overall incident”.       </w:t>
      </w:r>
    </w:p>
    <w:p w:rsidR="00323F52" w:rsidRDefault="00766D7F">
      <w:pPr>
        <w:pStyle w:val="Textbody"/>
      </w:pPr>
      <w:r>
        <w:rPr>
          <w:b/>
        </w:rPr>
        <w:t>Constraint Schema</w:t>
      </w:r>
      <w:r>
        <w:t>       A constraint schema is simply a subset of the standard reference schema which conforms to all the requirements and business rules of the reference schema.  For example, an impl</w:t>
      </w:r>
      <w:r>
        <w:t>e</w:t>
      </w:r>
      <w:r>
        <w:t>mentation of the TEP standard may eliminate selected optional elements, or enhance the definition of a required element.        </w:t>
      </w:r>
    </w:p>
    <w:p w:rsidR="00323F52" w:rsidRDefault="00766D7F">
      <w:pPr>
        <w:pStyle w:val="Textbody"/>
      </w:pPr>
      <w:r>
        <w:rPr>
          <w:b/>
        </w:rPr>
        <w:t>CSTE</w:t>
      </w:r>
      <w:r>
        <w:t>         Council of State and Territorial Epidemiologists          </w:t>
      </w:r>
    </w:p>
    <w:p w:rsidR="00323F52" w:rsidRDefault="00766D7F">
      <w:pPr>
        <w:pStyle w:val="Textbody"/>
      </w:pPr>
      <w:r>
        <w:rPr>
          <w:b/>
        </w:rPr>
        <w:t>DE</w:t>
      </w:r>
      <w:r>
        <w:t>              Distribution Element              </w:t>
      </w:r>
    </w:p>
    <w:p w:rsidR="00323F52" w:rsidRDefault="00766D7F">
      <w:pPr>
        <w:pStyle w:val="Textbody"/>
      </w:pPr>
      <w:r>
        <w:rPr>
          <w:b/>
        </w:rPr>
        <w:t>DHS</w:t>
      </w:r>
      <w:r>
        <w:t>           Department of Homeland Security      </w:t>
      </w:r>
    </w:p>
    <w:p w:rsidR="00323F52" w:rsidRDefault="00766D7F">
      <w:pPr>
        <w:pStyle w:val="Textbody"/>
      </w:pPr>
      <w:r>
        <w:rPr>
          <w:b/>
        </w:rPr>
        <w:t>DOT</w:t>
      </w:r>
      <w:r>
        <w:t>           Department of Transportation            </w:t>
      </w:r>
    </w:p>
    <w:p w:rsidR="00323F52" w:rsidRDefault="00766D7F">
      <w:pPr>
        <w:pStyle w:val="Textbody"/>
      </w:pPr>
      <w:r>
        <w:rPr>
          <w:b/>
        </w:rPr>
        <w:t>EDXL</w:t>
      </w:r>
      <w:r>
        <w:t>         Emergency Data eXchange Language -           </w:t>
      </w:r>
    </w:p>
    <w:p w:rsidR="00323F52" w:rsidRDefault="00766D7F">
      <w:pPr>
        <w:pStyle w:val="Textbody"/>
      </w:pPr>
      <w:r>
        <w:rPr>
          <w:b/>
        </w:rPr>
        <w:t>EDXL-DE</w:t>
      </w:r>
      <w:r>
        <w:t>    Emergency Data eXchange Language - Distribution Element   </w:t>
      </w:r>
    </w:p>
    <w:p w:rsidR="00323F52" w:rsidRDefault="00766D7F">
      <w:pPr>
        <w:pStyle w:val="Textbody"/>
      </w:pPr>
      <w:r>
        <w:rPr>
          <w:b/>
        </w:rPr>
        <w:t>EDXL-HAVE</w:t>
      </w:r>
      <w:r>
        <w:t>     Emergency Data eXchange Language - Hospital aVailability Exchange      </w:t>
      </w:r>
    </w:p>
    <w:p w:rsidR="00323F52" w:rsidRDefault="00766D7F">
      <w:pPr>
        <w:pStyle w:val="Textbody"/>
      </w:pPr>
      <w:r>
        <w:rPr>
          <w:b/>
        </w:rPr>
        <w:t>EDXL-RM</w:t>
      </w:r>
      <w:r>
        <w:t>   Emergency Data eXchange Language - Resource Messaging              </w:t>
      </w:r>
    </w:p>
    <w:p w:rsidR="00323F52" w:rsidRDefault="00766D7F">
      <w:pPr>
        <w:pStyle w:val="Textbody"/>
      </w:pPr>
      <w:r>
        <w:rPr>
          <w:b/>
        </w:rPr>
        <w:t>EIC</w:t>
      </w:r>
      <w:r>
        <w:t>             Emergency Interoperability Consortium            </w:t>
      </w:r>
    </w:p>
    <w:p w:rsidR="00323F52" w:rsidRDefault="00766D7F">
      <w:pPr>
        <w:pStyle w:val="Textbody"/>
      </w:pPr>
      <w:r>
        <w:rPr>
          <w:b/>
        </w:rPr>
        <w:t>Elemen</w:t>
      </w:r>
      <w:r>
        <w:t>t     “Elements” are logical groupings of message elements or “tags” for purposes of defining me</w:t>
      </w:r>
      <w:r>
        <w:t>s</w:t>
      </w:r>
      <w:r>
        <w:t>sage structure   </w:t>
      </w:r>
    </w:p>
    <w:p w:rsidR="00323F52" w:rsidRDefault="00766D7F">
      <w:pPr>
        <w:pStyle w:val="Textbody"/>
      </w:pPr>
      <w:r>
        <w:rPr>
          <w:b/>
        </w:rPr>
        <w:t>EMT</w:t>
      </w:r>
      <w:r>
        <w:t>           Emergency Medical Technician          </w:t>
      </w:r>
    </w:p>
    <w:p w:rsidR="00323F52" w:rsidRDefault="00766D7F">
      <w:pPr>
        <w:pStyle w:val="Textbody"/>
      </w:pPr>
      <w:r>
        <w:rPr>
          <w:b/>
        </w:rPr>
        <w:t>ERM</w:t>
      </w:r>
      <w:r>
        <w:t>           Element Reference Model      </w:t>
      </w:r>
    </w:p>
    <w:p w:rsidR="00323F52" w:rsidRDefault="00766D7F">
      <w:pPr>
        <w:pStyle w:val="Textbody"/>
      </w:pPr>
      <w:r>
        <w:rPr>
          <w:b/>
        </w:rPr>
        <w:t>ESF</w:t>
      </w:r>
      <w:r>
        <w:t>            Emergency Support Functions           </w:t>
      </w:r>
    </w:p>
    <w:p w:rsidR="00323F52" w:rsidRDefault="00766D7F">
      <w:pPr>
        <w:pStyle w:val="Textbody"/>
      </w:pPr>
      <w:r>
        <w:rPr>
          <w:b/>
        </w:rPr>
        <w:t>ETA</w:t>
      </w:r>
      <w:r>
        <w:t>            Estimated Time of Arrival       </w:t>
      </w:r>
    </w:p>
    <w:p w:rsidR="00323F52" w:rsidRDefault="00766D7F">
      <w:pPr>
        <w:pStyle w:val="Textbody"/>
      </w:pPr>
      <w:r>
        <w:rPr>
          <w:b/>
        </w:rPr>
        <w:t>Event</w:t>
      </w:r>
      <w:r>
        <w:t>         For purposes of this messaging standard, “Situations”, “Incidents” and “Events” will be  r</w:t>
      </w:r>
      <w:r>
        <w:t>e</w:t>
      </w:r>
      <w:r>
        <w:t>ferred to generally as “incidents”.   Situations in this context refer to occurrences of various scales - a co</w:t>
      </w:r>
      <w:r>
        <w:t>l</w:t>
      </w:r>
      <w:r>
        <w:t>lection of happenings, observations and actions that have been correlated on some basis that may r</w:t>
      </w:r>
      <w:r>
        <w:t>e</w:t>
      </w:r>
      <w:r>
        <w:t>quire resources to perform Public Safety/Emergency/Disaster mitigation, planning and preparation, r</w:t>
      </w:r>
      <w:r>
        <w:t>e</w:t>
      </w:r>
      <w:r>
        <w:t>sponse or recovery. </w:t>
      </w:r>
    </w:p>
    <w:p w:rsidR="00323F52" w:rsidRDefault="00766D7F">
      <w:pPr>
        <w:pStyle w:val="Textbody"/>
      </w:pPr>
      <w:r>
        <w:t>It is a generic term referring to occurrences of any scale that may require some form of Emergency R</w:t>
      </w:r>
      <w:r>
        <w:t>e</w:t>
      </w:r>
      <w:r>
        <w:t>sponse and Management, and that requires tracking and information exchange.  An Event is a planned situation (e.g. a parade in Washington DC).  “Event” is also used to refer to a situation that has not been formally identified as an incident.  Like an incident, may be assigned an official ID, name or other descri</w:t>
      </w:r>
      <w:r>
        <w:t>p</w:t>
      </w:r>
      <w:r>
        <w:t xml:space="preserve">tive attributes. EDXL-TEP may refer to any situation whether an incident, event or other </w:t>
      </w:r>
      <w:proofErr w:type="spellStart"/>
      <w:r>
        <w:t>occurance</w:t>
      </w:r>
      <w:proofErr w:type="spellEnd"/>
      <w:r>
        <w:t>.       </w:t>
      </w:r>
    </w:p>
    <w:p w:rsidR="00323F52" w:rsidRDefault="00766D7F">
      <w:pPr>
        <w:pStyle w:val="Textbody"/>
      </w:pPr>
      <w:r>
        <w:rPr>
          <w:b/>
        </w:rPr>
        <w:t>FEMA</w:t>
      </w:r>
      <w:r>
        <w:t>         Federal Emergency Management Agency       </w:t>
      </w:r>
    </w:p>
    <w:p w:rsidR="00323F52" w:rsidRDefault="00766D7F">
      <w:pPr>
        <w:pStyle w:val="Textbody"/>
      </w:pPr>
      <w:r>
        <w:rPr>
          <w:b/>
        </w:rPr>
        <w:t>HazMat</w:t>
      </w:r>
      <w:r>
        <w:t>       Hazardous Materials              </w:t>
      </w:r>
    </w:p>
    <w:p w:rsidR="00323F52" w:rsidRDefault="00766D7F">
      <w:pPr>
        <w:pStyle w:val="Textbody"/>
      </w:pPr>
      <w:r>
        <w:rPr>
          <w:b/>
        </w:rPr>
        <w:t>HITSP</w:t>
      </w:r>
      <w:r>
        <w:t>        Health Information Technology Standards Panel         </w:t>
      </w:r>
    </w:p>
    <w:p w:rsidR="00323F52" w:rsidRDefault="00766D7F">
      <w:pPr>
        <w:pStyle w:val="Textbody"/>
      </w:pPr>
      <w:r>
        <w:rPr>
          <w:b/>
        </w:rPr>
        <w:t>HTTP</w:t>
      </w:r>
      <w:r>
        <w:t>          Hypertext Transfer Protocol   </w:t>
      </w:r>
    </w:p>
    <w:p w:rsidR="00323F52" w:rsidRDefault="00766D7F">
      <w:pPr>
        <w:pStyle w:val="Textbody"/>
      </w:pPr>
      <w:r>
        <w:rPr>
          <w:b/>
        </w:rPr>
        <w:t>ICS</w:t>
      </w:r>
      <w:r>
        <w:t>             Incident Command System    </w:t>
      </w:r>
    </w:p>
    <w:p w:rsidR="00323F52" w:rsidRDefault="00766D7F">
      <w:pPr>
        <w:pStyle w:val="Textbody"/>
      </w:pPr>
      <w:r>
        <w:rPr>
          <w:b/>
        </w:rPr>
        <w:t>ID</w:t>
      </w:r>
      <w:r>
        <w:t>               Identification             </w:t>
      </w:r>
    </w:p>
    <w:p w:rsidR="00323F52" w:rsidRDefault="00766D7F">
      <w:pPr>
        <w:pStyle w:val="Textbody"/>
      </w:pPr>
      <w:r>
        <w:rPr>
          <w:b/>
        </w:rPr>
        <w:t>IEEE</w:t>
      </w:r>
      <w:r>
        <w:t>          Institute of Electrical and Electronics Engineers          </w:t>
      </w:r>
    </w:p>
    <w:p w:rsidR="00323F52" w:rsidRDefault="00766D7F">
      <w:pPr>
        <w:pStyle w:val="Textbody"/>
      </w:pPr>
      <w:r>
        <w:rPr>
          <w:b/>
        </w:rPr>
        <w:t>IEPD</w:t>
      </w:r>
      <w:r>
        <w:t>          Information Exchange Package Development             </w:t>
      </w:r>
    </w:p>
    <w:p w:rsidR="00323F52" w:rsidRDefault="00766D7F">
      <w:pPr>
        <w:pStyle w:val="Textbody"/>
      </w:pPr>
      <w:r>
        <w:rPr>
          <w:b/>
        </w:rPr>
        <w:t>Incident</w:t>
      </w:r>
      <w:r>
        <w:t>      For purposes of this messaging standard, “Situations”, “Incidents” and “Events” will be  r</w:t>
      </w:r>
      <w:r>
        <w:t>e</w:t>
      </w:r>
      <w:r>
        <w:t>ferred to generally as “incidents”.   Situations in this context refer to occurrences of various scales - a co</w:t>
      </w:r>
      <w:r>
        <w:t>l</w:t>
      </w:r>
      <w:r>
        <w:t>lection of happenings, observations and actions that have been correlated on some basis that may r</w:t>
      </w:r>
      <w:r>
        <w:t>e</w:t>
      </w:r>
      <w:r>
        <w:t>quire resources to perform Public Safety/Emergency/Disaster mitigation, planning and preparation, r</w:t>
      </w:r>
      <w:r>
        <w:t>e</w:t>
      </w:r>
      <w:r>
        <w:t>sponse or recovery. </w:t>
      </w:r>
    </w:p>
    <w:p w:rsidR="00323F52" w:rsidRDefault="00766D7F">
      <w:pPr>
        <w:pStyle w:val="Textbody"/>
      </w:pPr>
      <w:r>
        <w:t>A Situation can be an incident, an event, or any observable or predictable occurrence.  It is a generic term referring to occurrences of any scale that may require some form of Emergency Response and Manag</w:t>
      </w:r>
      <w:r>
        <w:t>e</w:t>
      </w:r>
      <w:r>
        <w:t>ment, and that requires tracking and information exchange. </w:t>
      </w:r>
    </w:p>
    <w:p w:rsidR="00323F52" w:rsidRDefault="00766D7F">
      <w:pPr>
        <w:pStyle w:val="Textbody"/>
      </w:pPr>
      <w:r>
        <w:t>“Incident” is viewed from the NIMS Emergency Management perspective as a formal or informal declar</w:t>
      </w:r>
      <w:r>
        <w:t>a</w:t>
      </w:r>
      <w:r>
        <w:t xml:space="preserve">tion of emergency or disaster by an organization at the state, local, federal level or by a jurisdiction.  An incident may be assigned an official ID, name or other descriptive attributes. EDXL-TEP may refer to any situation whether an incident, event or other situation or </w:t>
      </w:r>
      <w:proofErr w:type="spellStart"/>
      <w:r>
        <w:t>occurance</w:t>
      </w:r>
      <w:proofErr w:type="spellEnd"/>
      <w:r>
        <w:t>.    </w:t>
      </w:r>
    </w:p>
    <w:p w:rsidR="00323F52" w:rsidRDefault="00766D7F">
      <w:pPr>
        <w:pStyle w:val="Textbody"/>
      </w:pPr>
      <w:r>
        <w:rPr>
          <w:b/>
        </w:rPr>
        <w:t>Jurisdiction</w:t>
      </w:r>
      <w:r>
        <w:t>      In context of emergency response to incidents, “jurisdiction” has two similar definitions:</w:t>
      </w:r>
    </w:p>
    <w:p w:rsidR="00323F52" w:rsidRDefault="00766D7F">
      <w:pPr>
        <w:pStyle w:val="Textbody"/>
      </w:pPr>
      <w:r>
        <w:t>1.   Reference to a geo-political area or location.  A jurisdiction is pre-defined physical location or area over which legal authority extends.  Though a jurisdiction itself is not a person, role, or title, a jurisdiction has assigned to it one or more government personnel with legal authority for certain types of decision-making such as allocation of emergency resources and invocation of mutual aid agreements. </w:t>
      </w:r>
    </w:p>
    <w:p w:rsidR="00323F52" w:rsidRDefault="00766D7F">
      <w:pPr>
        <w:pStyle w:val="Textbody"/>
      </w:pPr>
      <w:r>
        <w:t xml:space="preserve">2.   Reference to an organization or agency that has “Authority” over something (such as an incident, or a set of identified resources).  Jurisdiction in this </w:t>
      </w:r>
      <w:proofErr w:type="spellStart"/>
      <w:r>
        <w:t>sence</w:t>
      </w:r>
      <w:proofErr w:type="spellEnd"/>
      <w:r>
        <w:t xml:space="preserve"> may be general, such as “federal”, “city”, or “state”, or may be specific agency names such as “Warren County”, “US Coast Guard”, “Panama City”, and “NYPD”.    </w:t>
      </w:r>
    </w:p>
    <w:p w:rsidR="00323F52" w:rsidRDefault="00766D7F">
      <w:pPr>
        <w:pStyle w:val="Textbody"/>
      </w:pPr>
      <w:r>
        <w:rPr>
          <w:b/>
        </w:rPr>
        <w:t>MACS</w:t>
      </w:r>
      <w:r>
        <w:t>         Multi-Agency Coordination System     </w:t>
      </w:r>
    </w:p>
    <w:p w:rsidR="00323F52" w:rsidRDefault="00766D7F">
      <w:pPr>
        <w:pStyle w:val="Textbody"/>
      </w:pPr>
      <w:r>
        <w:rPr>
          <w:b/>
        </w:rPr>
        <w:t>MC</w:t>
      </w:r>
      <w:r>
        <w:t>             Mobile Command      </w:t>
      </w:r>
    </w:p>
    <w:p w:rsidR="00323F52" w:rsidRDefault="00766D7F">
      <w:pPr>
        <w:pStyle w:val="Textbody"/>
      </w:pPr>
      <w:r>
        <w:rPr>
          <w:b/>
        </w:rPr>
        <w:t>MEMA</w:t>
      </w:r>
      <w:r>
        <w:t>        Maryland Emergency Management Agency     </w:t>
      </w:r>
    </w:p>
    <w:p w:rsidR="00323F52" w:rsidRDefault="00766D7F">
      <w:pPr>
        <w:pStyle w:val="Textbody"/>
      </w:pPr>
      <w:r>
        <w:rPr>
          <w:b/>
        </w:rPr>
        <w:t>NCR DEH</w:t>
      </w:r>
      <w:r>
        <w:t>    National Capital Region Data Exchange Hub   </w:t>
      </w:r>
    </w:p>
    <w:p w:rsidR="00323F52" w:rsidRDefault="00766D7F">
      <w:pPr>
        <w:pStyle w:val="Textbody"/>
      </w:pPr>
      <w:r>
        <w:rPr>
          <w:b/>
        </w:rPr>
        <w:t>NFES</w:t>
      </w:r>
      <w:r>
        <w:t>         National Fire Equipment System        </w:t>
      </w:r>
    </w:p>
    <w:p w:rsidR="00323F52" w:rsidRDefault="00766D7F">
      <w:pPr>
        <w:pStyle w:val="Textbody"/>
      </w:pPr>
      <w:r>
        <w:rPr>
          <w:b/>
        </w:rPr>
        <w:t>NIEM</w:t>
      </w:r>
      <w:r>
        <w:t>          National Information Exchange Model            </w:t>
      </w:r>
    </w:p>
    <w:p w:rsidR="00323F52" w:rsidRDefault="00766D7F">
      <w:pPr>
        <w:pStyle w:val="Textbody"/>
      </w:pPr>
      <w:r>
        <w:rPr>
          <w:b/>
        </w:rPr>
        <w:t>NIMS</w:t>
      </w:r>
      <w:r>
        <w:t>          National Information Management System      </w:t>
      </w:r>
    </w:p>
    <w:p w:rsidR="00323F52" w:rsidRDefault="00766D7F">
      <w:pPr>
        <w:pStyle w:val="Textbody"/>
      </w:pPr>
      <w:r>
        <w:rPr>
          <w:b/>
        </w:rPr>
        <w:t>OASIS</w:t>
      </w:r>
      <w:r>
        <w:t>        Organization for the Advancement of Structured Information Standards           </w:t>
      </w:r>
    </w:p>
    <w:p w:rsidR="00323F52" w:rsidRDefault="00766D7F">
      <w:pPr>
        <w:pStyle w:val="Textbody"/>
      </w:pPr>
      <w:r>
        <w:rPr>
          <w:b/>
        </w:rPr>
        <w:t>OIC</w:t>
      </w:r>
      <w:r>
        <w:t xml:space="preserve">            Office for Interoperability and </w:t>
      </w:r>
      <w:proofErr w:type="spellStart"/>
      <w:r>
        <w:t>Compatability</w:t>
      </w:r>
      <w:proofErr w:type="spellEnd"/>
      <w:r>
        <w:t xml:space="preserve">   </w:t>
      </w:r>
    </w:p>
    <w:p w:rsidR="00323F52" w:rsidRDefault="00766D7F">
      <w:pPr>
        <w:pStyle w:val="Textbody"/>
      </w:pPr>
      <w:r>
        <w:rPr>
          <w:b/>
        </w:rPr>
        <w:t>Profile</w:t>
      </w:r>
      <w:r>
        <w:t>        (Taken from the OGC)</w:t>
      </w:r>
    </w:p>
    <w:p w:rsidR="00323F52" w:rsidRDefault="00766D7F">
      <w:pPr>
        <w:pStyle w:val="Textbody"/>
      </w:pPr>
      <w:r>
        <w:t>(Note:  Considerable confusion exists in discussion and definition of the concept of a “profile”.  The follo</w:t>
      </w:r>
      <w:r>
        <w:t>w</w:t>
      </w:r>
      <w:r>
        <w:t>ing definition was submitted by the OGC; however reference within this document more closely conforms to the term “constraint schema”.)</w:t>
      </w:r>
    </w:p>
    <w:p w:rsidR="00323F52" w:rsidRDefault="00766D7F">
      <w:pPr>
        <w:pStyle w:val="Textbody"/>
      </w:pPr>
      <w:r>
        <w:t>A profile of GML can be defined to enhance interoperability and to curtail ambiguity by allowing only a specific subset of GML.  Application schemas can then conform to such a profile in order to take a</w:t>
      </w:r>
      <w:r>
        <w:t>d</w:t>
      </w:r>
      <w:r>
        <w:t xml:space="preserve">vantage of any interoperability or performance advantages that it offers in comparison with a complete GML. Such profiles can be defined for application schemas that are included in other OGC specifications. There are cases where reduced functionality is acceptable, or where processing requirements compel use of a logical subset of GML. For example, applications that do not need to handle </w:t>
      </w:r>
      <w:proofErr w:type="spellStart"/>
      <w:r>
        <w:t>XLink</w:t>
      </w:r>
      <w:proofErr w:type="spellEnd"/>
      <w:r>
        <w:t xml:space="preserve"> attributes in any form can adhere to a specific profile that excludes them; the constraint in this case would be to not use links. Other cases might include defining constraints on the level of nesting allowed inside tags (i.e. tree depth), or only allowing features with homogeneous properties as members of a feature collection. In many cases, such constraints can be enforced via new schemas; others may be enforced through proc</w:t>
      </w:r>
      <w:r>
        <w:t>e</w:t>
      </w:r>
      <w:r>
        <w:t>dural agreements within an information community.          </w:t>
      </w:r>
    </w:p>
    <w:p w:rsidR="00323F52" w:rsidRDefault="00766D7F">
      <w:pPr>
        <w:pStyle w:val="Textbody"/>
      </w:pPr>
      <w:r>
        <w:rPr>
          <w:b/>
        </w:rPr>
        <w:t>PSG</w:t>
      </w:r>
      <w:r>
        <w:t>           Practitioner Steering Group    </w:t>
      </w:r>
    </w:p>
    <w:p w:rsidR="00323F52" w:rsidRDefault="00766D7F">
      <w:pPr>
        <w:pStyle w:val="Textbody"/>
      </w:pPr>
      <w:r>
        <w:rPr>
          <w:b/>
        </w:rPr>
        <w:t>RM</w:t>
      </w:r>
      <w:r>
        <w:t>             Resource Messaging             </w:t>
      </w:r>
    </w:p>
    <w:p w:rsidR="00323F52" w:rsidRDefault="00766D7F">
      <w:pPr>
        <w:pStyle w:val="Textbody"/>
      </w:pPr>
      <w:r>
        <w:rPr>
          <w:b/>
        </w:rPr>
        <w:t>S&amp;T</w:t>
      </w:r>
      <w:r>
        <w:t>            Science and Technology Directorate of DHS              </w:t>
      </w:r>
    </w:p>
    <w:p w:rsidR="00323F52" w:rsidRDefault="00766D7F">
      <w:pPr>
        <w:pStyle w:val="Textbody"/>
      </w:pPr>
      <w:r>
        <w:rPr>
          <w:b/>
        </w:rPr>
        <w:t>SAFECOM</w:t>
      </w:r>
      <w:r>
        <w:t xml:space="preserve">  </w:t>
      </w:r>
      <w:proofErr w:type="spellStart"/>
      <w:r>
        <w:t>SAFECOM</w:t>
      </w:r>
      <w:proofErr w:type="spellEnd"/>
      <w:r>
        <w:t xml:space="preserve"> is a communications program within the Office for Interoperability and Compatibi</w:t>
      </w:r>
      <w:r>
        <w:t>l</w:t>
      </w:r>
      <w:r>
        <w:t>ity (OIC) that provides research, development, testing and evaluation, guidance, tools, and templates on communications-related issues to local, tribal, state, and Federal emergency response agencies working to improve emergency response through more effective and efficient interoperable wireless communic</w:t>
      </w:r>
      <w:r>
        <w:t>a</w:t>
      </w:r>
      <w:r>
        <w:t>tions.      </w:t>
      </w:r>
    </w:p>
    <w:p w:rsidR="00323F52" w:rsidRDefault="00766D7F">
      <w:pPr>
        <w:pStyle w:val="Textbody"/>
      </w:pPr>
      <w:r>
        <w:rPr>
          <w:b/>
        </w:rPr>
        <w:t>SitRep</w:t>
      </w:r>
      <w:r>
        <w:t>        Situation Report        </w:t>
      </w:r>
    </w:p>
    <w:p w:rsidR="00323F52" w:rsidRDefault="00766D7F">
      <w:pPr>
        <w:pStyle w:val="Textbody"/>
      </w:pPr>
      <w:r>
        <w:rPr>
          <w:b/>
        </w:rPr>
        <w:t>Situation</w:t>
      </w:r>
      <w:r>
        <w:t>    For purposes of this messaging standard, “Situations”, “Incidents” and “Events” will be  r</w:t>
      </w:r>
      <w:r>
        <w:t>e</w:t>
      </w:r>
      <w:r>
        <w:t>ferred to generally as “incidents”.   Situations in this context refer to occurrences of various scales - a co</w:t>
      </w:r>
      <w:r>
        <w:t>l</w:t>
      </w:r>
      <w:r>
        <w:t>lection of happenings, observations and actions that have been correlated on some basis that may r</w:t>
      </w:r>
      <w:r>
        <w:t>e</w:t>
      </w:r>
      <w:r>
        <w:t>quire resources to perform Public Safety/Emergency/Disaster mitigation, planning and preparation, r</w:t>
      </w:r>
      <w:r>
        <w:t>e</w:t>
      </w:r>
      <w:r>
        <w:t>sponse or recovery. </w:t>
      </w:r>
    </w:p>
    <w:p w:rsidR="00323F52" w:rsidRDefault="00766D7F">
      <w:pPr>
        <w:pStyle w:val="Textbody"/>
      </w:pPr>
      <w:r>
        <w:t>A Situation can be an incident, an event, or any observable or predictable occurrence.  It is a generic term referring to occurrences of any scale that may require some form of Emergency Response and Manag</w:t>
      </w:r>
      <w:r>
        <w:t>e</w:t>
      </w:r>
      <w:r>
        <w:t>ment, and that requires tracking and information exchange.            </w:t>
      </w:r>
    </w:p>
    <w:p w:rsidR="00323F52" w:rsidRDefault="00766D7F">
      <w:pPr>
        <w:pStyle w:val="Textbody"/>
      </w:pPr>
      <w:r>
        <w:rPr>
          <w:b/>
        </w:rPr>
        <w:t>SOAP</w:t>
      </w:r>
      <w:r>
        <w:t>         Simple Object Access Protocol         </w:t>
      </w:r>
    </w:p>
    <w:p w:rsidR="00323F52" w:rsidRDefault="00766D7F">
      <w:pPr>
        <w:pStyle w:val="Textbody"/>
      </w:pPr>
      <w:r>
        <w:rPr>
          <w:b/>
        </w:rPr>
        <w:t>SWG</w:t>
      </w:r>
      <w:r>
        <w:t>          Standards Working Group -    </w:t>
      </w:r>
    </w:p>
    <w:p w:rsidR="00323F52" w:rsidRDefault="00766D7F">
      <w:pPr>
        <w:pStyle w:val="Textbody"/>
      </w:pPr>
      <w:r>
        <w:rPr>
          <w:b/>
        </w:rPr>
        <w:t>UCUM</w:t>
      </w:r>
      <w:r>
        <w:t>         Unified Code for Units of Measure     </w:t>
      </w:r>
    </w:p>
    <w:p w:rsidR="00323F52" w:rsidRDefault="00766D7F">
      <w:pPr>
        <w:pStyle w:val="Textbody"/>
      </w:pPr>
      <w:r>
        <w:rPr>
          <w:b/>
        </w:rPr>
        <w:t>UOM</w:t>
      </w:r>
      <w:r>
        <w:t>           Units of Measure       </w:t>
      </w:r>
    </w:p>
    <w:p w:rsidR="00323F52" w:rsidRDefault="00766D7F">
      <w:pPr>
        <w:pStyle w:val="Textbody"/>
      </w:pPr>
      <w:r>
        <w:rPr>
          <w:b/>
        </w:rPr>
        <w:t>URN</w:t>
      </w:r>
      <w:r>
        <w:t>           Uniform Resource Name        </w:t>
      </w:r>
    </w:p>
    <w:p w:rsidR="00323F52" w:rsidRDefault="00766D7F">
      <w:pPr>
        <w:pStyle w:val="Textbody"/>
      </w:pPr>
      <w:r>
        <w:rPr>
          <w:b/>
        </w:rPr>
        <w:t>UTC</w:t>
      </w:r>
      <w:r>
        <w:t>            Coordinated Universal Time   </w:t>
      </w:r>
    </w:p>
    <w:p w:rsidR="00323F52" w:rsidRDefault="00766D7F">
      <w:pPr>
        <w:pStyle w:val="Textbody"/>
      </w:pPr>
      <w:r>
        <w:rPr>
          <w:b/>
        </w:rPr>
        <w:t>WHO</w:t>
      </w:r>
      <w:r>
        <w:t>          World Health Organization       </w:t>
      </w:r>
    </w:p>
    <w:p w:rsidR="00323F52" w:rsidRDefault="00766D7F">
      <w:pPr>
        <w:pStyle w:val="Textbody"/>
      </w:pPr>
      <w:r>
        <w:rPr>
          <w:b/>
        </w:rPr>
        <w:t>WMD</w:t>
      </w:r>
      <w:r>
        <w:t>          Weapons of Mass Destruction           </w:t>
      </w:r>
    </w:p>
    <w:p w:rsidR="00323F52" w:rsidRDefault="00766D7F">
      <w:pPr>
        <w:pStyle w:val="Textbody"/>
      </w:pPr>
      <w:r>
        <w:rPr>
          <w:rFonts w:ascii="Arial, sans-serif" w:hAnsi="Arial, sans-serif"/>
          <w:b/>
        </w:rPr>
        <w:t>XML</w:t>
      </w:r>
      <w:r>
        <w:t xml:space="preserve">     </w:t>
      </w:r>
      <w:proofErr w:type="spellStart"/>
      <w:r>
        <w:rPr>
          <w:rFonts w:ascii="Arial, sans-serif" w:hAnsi="Arial, sans-serif"/>
        </w:rPr>
        <w:t>eXtensible</w:t>
      </w:r>
      <w:proofErr w:type="spellEnd"/>
      <w:r>
        <w:rPr>
          <w:rFonts w:ascii="Arial, sans-serif" w:hAnsi="Arial, sans-serif"/>
        </w:rPr>
        <w:t xml:space="preserve"> Markup Language</w:t>
      </w:r>
    </w:p>
    <w:p w:rsidR="00323F52" w:rsidRDefault="00766D7F">
      <w:pPr>
        <w:pStyle w:val="Heading1"/>
      </w:pPr>
      <w:bookmarkStart w:id="51" w:name="__RefHeading__1475_174928413"/>
      <w:r>
        <w:t># Conformance</w:t>
      </w:r>
      <w:bookmarkEnd w:id="51"/>
    </w:p>
    <w:p w:rsidR="00323F52" w:rsidRDefault="00766D7F">
      <w:pPr>
        <w:pStyle w:val="Standard"/>
      </w:pPr>
      <w:r>
        <w:t>The last numbered section in the specification must be the Conformance section. Conformance Stat</w:t>
      </w:r>
      <w:r>
        <w:t>e</w:t>
      </w:r>
      <w:r>
        <w:t>ments/Clauses go here.</w:t>
      </w:r>
    </w:p>
    <w:p w:rsidR="00323F52" w:rsidRDefault="00766D7F">
      <w:pPr>
        <w:pStyle w:val="AppendixHeading3"/>
        <w:numPr>
          <w:ilvl w:val="0"/>
          <w:numId w:val="122"/>
        </w:numPr>
        <w:spacing w:before="280" w:after="280"/>
      </w:pPr>
      <w:bookmarkStart w:id="52" w:name="__RefHeading__1477_174928413"/>
      <w:r>
        <w:t>Acknowledgments</w:t>
      </w:r>
      <w:bookmarkEnd w:id="52"/>
    </w:p>
    <w:p w:rsidR="00323F52" w:rsidRDefault="00766D7F">
      <w:pPr>
        <w:pStyle w:val="Standard"/>
      </w:pPr>
      <w:r>
        <w:t>The following individuals have participated in the creation of this specification and are gratefully acknow</w:t>
      </w:r>
      <w:r>
        <w:t>l</w:t>
      </w:r>
      <w:r>
        <w:t>edged:</w:t>
      </w:r>
    </w:p>
    <w:p w:rsidR="00323F52" w:rsidRDefault="00766D7F">
      <w:pPr>
        <w:pStyle w:val="Titlepageinfo"/>
      </w:pPr>
      <w:r>
        <w:t>Participants:</w:t>
      </w:r>
    </w:p>
    <w:p w:rsidR="00323F52" w:rsidRDefault="00766D7F">
      <w:pPr>
        <w:pStyle w:val="Contributor"/>
      </w:pPr>
      <w:r>
        <w:t>[Participant Name, Affiliation | Individual Member]</w:t>
      </w:r>
    </w:p>
    <w:p w:rsidR="00323F52" w:rsidRDefault="00766D7F">
      <w:pPr>
        <w:pStyle w:val="Contributor"/>
      </w:pPr>
      <w:r>
        <w:t>[Participant Name, Affiliation | Individual Member]</w:t>
      </w:r>
    </w:p>
    <w:p w:rsidR="00323F52" w:rsidRDefault="00323F52">
      <w:pPr>
        <w:pStyle w:val="Standard"/>
      </w:pPr>
    </w:p>
    <w:p w:rsidR="00323F52" w:rsidRDefault="00766D7F">
      <w:pPr>
        <w:pStyle w:val="AppendixHeading3"/>
      </w:pPr>
      <w:bookmarkStart w:id="53" w:name="__RefHeading__1479_174928413"/>
      <w:r>
        <w:t>Non-Normative Text</w:t>
      </w:r>
      <w:bookmarkEnd w:id="53"/>
    </w:p>
    <w:p w:rsidR="00323F52" w:rsidRDefault="00766D7F">
      <w:r>
        <w:t>Demonstrating appendix numbering.</w:t>
      </w:r>
    </w:p>
    <w:p w:rsidR="00323F52" w:rsidRDefault="00766D7F">
      <w:pPr>
        <w:pStyle w:val="AppendixHeading2"/>
        <w:numPr>
          <w:ilvl w:val="1"/>
          <w:numId w:val="106"/>
        </w:numPr>
      </w:pPr>
      <w:bookmarkStart w:id="54" w:name="__RefHeading__32325_1258220386"/>
      <w:r>
        <w:t>subsidiary appendix</w:t>
      </w:r>
      <w:bookmarkEnd w:id="54"/>
    </w:p>
    <w:p w:rsidR="00323F52" w:rsidRDefault="00766D7F">
      <w:r>
        <w:t>text</w:t>
      </w:r>
    </w:p>
    <w:p w:rsidR="00323F52" w:rsidRDefault="00766D7F">
      <w:pPr>
        <w:pStyle w:val="AppendixHeading3"/>
        <w:numPr>
          <w:ilvl w:val="2"/>
          <w:numId w:val="106"/>
        </w:numPr>
      </w:pPr>
      <w:bookmarkStart w:id="55" w:name="__RefHeading__30942_1258220386"/>
      <w:r>
        <w:t>Sub-subsidiary appendix</w:t>
      </w:r>
      <w:bookmarkEnd w:id="55"/>
    </w:p>
    <w:p w:rsidR="00323F52" w:rsidRDefault="00766D7F">
      <w:r>
        <w:t>text</w:t>
      </w:r>
    </w:p>
    <w:p w:rsidR="00323F52" w:rsidRDefault="00766D7F">
      <w:pPr>
        <w:pStyle w:val="AppendixHeading3"/>
      </w:pPr>
      <w:bookmarkStart w:id="56" w:name="__RefHeading__1481_174928413"/>
      <w:r>
        <w:t>Revision History</w:t>
      </w:r>
      <w:bookmarkEnd w:id="56"/>
    </w:p>
    <w:p w:rsidR="00323F52" w:rsidRDefault="00323F52">
      <w:pPr>
        <w:pStyle w:val="Standard"/>
      </w:pPr>
    </w:p>
    <w:tbl>
      <w:tblPr>
        <w:tblW w:w="9586" w:type="dxa"/>
        <w:tblInd w:w="-113" w:type="dxa"/>
        <w:tblLayout w:type="fixed"/>
        <w:tblCellMar>
          <w:left w:w="10" w:type="dxa"/>
          <w:right w:w="10" w:type="dxa"/>
        </w:tblCellMar>
        <w:tblLook w:val="0000" w:firstRow="0" w:lastRow="0" w:firstColumn="0" w:lastColumn="0" w:noHBand="0" w:noVBand="0"/>
      </w:tblPr>
      <w:tblGrid>
        <w:gridCol w:w="1548"/>
        <w:gridCol w:w="1440"/>
        <w:gridCol w:w="2160"/>
        <w:gridCol w:w="4438"/>
      </w:tblGrid>
      <w:tr w:rsidR="00323F52">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323F52" w:rsidRDefault="00766D7F">
            <w:pPr>
              <w:pStyle w:val="Standard"/>
              <w:snapToGrid w:val="0"/>
              <w:jc w:val="center"/>
              <w:rPr>
                <w:b/>
              </w:rPr>
            </w:pPr>
            <w:r>
              <w:rPr>
                <w:b/>
              </w:rPr>
              <w:t>Revision</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323F52" w:rsidRDefault="00766D7F">
            <w:pPr>
              <w:pStyle w:val="Standard"/>
              <w:snapToGrid w:val="0"/>
              <w:jc w:val="center"/>
              <w:rPr>
                <w:b/>
              </w:rPr>
            </w:pPr>
            <w:r>
              <w:rPr>
                <w:b/>
              </w:rPr>
              <w:t>Date</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323F52" w:rsidRDefault="00766D7F">
            <w:pPr>
              <w:pStyle w:val="Standard"/>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3F52" w:rsidRDefault="00766D7F">
            <w:pPr>
              <w:pStyle w:val="Standard"/>
              <w:snapToGrid w:val="0"/>
              <w:rPr>
                <w:b/>
              </w:rPr>
            </w:pPr>
            <w:r>
              <w:rPr>
                <w:b/>
              </w:rPr>
              <w:t>Changes Made</w:t>
            </w:r>
          </w:p>
        </w:tc>
      </w:tr>
      <w:tr w:rsidR="00323F52">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323F52" w:rsidRDefault="00766D7F">
            <w:pPr>
              <w:pStyle w:val="Standard"/>
              <w:snapToGrid w:val="0"/>
            </w:pPr>
            <w:r>
              <w:t>[Rev number]</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323F52" w:rsidRDefault="00766D7F">
            <w:pPr>
              <w:pStyle w:val="Standard"/>
              <w:snapToGrid w:val="0"/>
            </w:pPr>
            <w:r>
              <w:t>[Rev Date]</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323F52" w:rsidRDefault="00766D7F">
            <w:pPr>
              <w:pStyle w:val="Standard"/>
              <w:snapToGrid w:val="0"/>
            </w:pPr>
            <w:r>
              <w:t>[Modified By]</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3F52" w:rsidRDefault="00766D7F">
            <w:pPr>
              <w:pStyle w:val="Standard"/>
              <w:snapToGrid w:val="0"/>
            </w:pPr>
            <w:r>
              <w:t>[Summary of Changes]</w:t>
            </w:r>
          </w:p>
        </w:tc>
      </w:tr>
    </w:tbl>
    <w:p w:rsidR="00323F52" w:rsidRDefault="00323F52">
      <w:pPr>
        <w:pStyle w:val="Standard"/>
      </w:pPr>
    </w:p>
    <w:p w:rsidR="00323F52" w:rsidRDefault="00323F52">
      <w:pPr>
        <w:pStyle w:val="Standard"/>
        <w:spacing w:before="86" w:after="86"/>
        <w:ind w:left="540"/>
        <w:rPr>
          <w:rFonts w:cs="Arial, sans-serif"/>
        </w:rPr>
      </w:pPr>
    </w:p>
    <w:sectPr w:rsidR="00323F52">
      <w:headerReference w:type="default" r:id="rId31"/>
      <w:footerReference w:type="default" r:id="rId32"/>
      <w:pgSz w:w="12240" w:h="15840"/>
      <w:pgMar w:top="1066" w:right="1440" w:bottom="72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Werner Joerg" w:date="2012-06-21T11:28:00Z" w:initials="Werner Jo">
    <w:p w:rsidR="00766D7F" w:rsidRDefault="00766D7F">
      <w:pPr>
        <w:suppressAutoHyphens/>
        <w:spacing w:after="0"/>
      </w:pPr>
      <w:r>
        <w:rPr>
          <w:rStyle w:val="CommentReference"/>
        </w:rPr>
        <w:annotationRef/>
      </w:r>
      <w:r>
        <w:rPr>
          <w:rFonts w:ascii="Microsoft Sans Serif" w:hAnsi="Microsoft Sans Serif" w:cs="Times New Roman"/>
          <w:color w:val="000000"/>
        </w:rPr>
        <w:t>Do we really need this? Cardinality may vary with structure – it seems more appropriate to locate it in the sub-elements list.</w:t>
      </w:r>
    </w:p>
  </w:comment>
  <w:comment w:id="39" w:author="Werner Joerg" w:date="2012-06-21T12:13:00Z" w:initials="Werner Jo">
    <w:p w:rsidR="00766D7F" w:rsidRDefault="00766D7F">
      <w:pPr>
        <w:suppressAutoHyphens/>
        <w:spacing w:after="0"/>
      </w:pPr>
      <w:r>
        <w:rPr>
          <w:rStyle w:val="CommentReference"/>
        </w:rPr>
        <w:annotationRef/>
      </w:r>
      <w:r>
        <w:rPr>
          <w:rFonts w:ascii="Microsoft Sans Serif" w:hAnsi="Microsoft Sans Serif" w:cs="Times New Roman"/>
        </w:rPr>
        <w:t xml:space="preserve">Should this be made </w:t>
      </w:r>
      <w:proofErr w:type="spellStart"/>
      <w:r>
        <w:rPr>
          <w:rFonts w:ascii="Microsoft Sans Serif" w:hAnsi="Microsoft Sans Serif" w:cs="Times New Roman"/>
        </w:rPr>
        <w:t>ct</w:t>
      </w:r>
      <w:proofErr w:type="spellEnd"/>
      <w:proofErr w:type="gramStart"/>
      <w:r>
        <w:rPr>
          <w:rFonts w:ascii="Microsoft Sans Serif" w:hAnsi="Microsoft Sans Serif" w:cs="Times New Roman"/>
        </w:rPr>
        <w:t>:?</w:t>
      </w:r>
      <w:proofErr w:type="gramEnd"/>
    </w:p>
  </w:comment>
  <w:comment w:id="44" w:author="Werner Joerg" w:date="2012-06-21T13:05:00Z" w:initials="Werner Jo">
    <w:p w:rsidR="00766D7F" w:rsidRDefault="00766D7F">
      <w:pPr>
        <w:rPr>
          <w:rFonts w:eastAsia="Arial, sans-serif"/>
        </w:rPr>
      </w:pPr>
      <w:r>
        <w:rPr>
          <w:rStyle w:val="CommentReference"/>
        </w:rPr>
        <w:annotationRef/>
      </w:r>
      <w:r>
        <w:rPr>
          <w:rFonts w:ascii="Microsoft Sans Serif" w:hAnsi="Microsoft Sans Serif" w:cs="Times New Roman"/>
        </w:rPr>
        <w:t xml:space="preserve">(Note: spreadsheet says </w:t>
      </w:r>
      <w:r>
        <w:rPr>
          <w:rFonts w:eastAsia="Arial, sans-serif" w:cs="Times New Roman"/>
          <w:i/>
          <w:iCs/>
          <w:color w:val="DC2300"/>
        </w:rPr>
        <w:t>Name the pair "CLIENTID"</w:t>
      </w:r>
      <w:r>
        <w:rPr>
          <w:rFonts w:ascii="Microsoft Sans Serif" w:hAnsi="Microsoft Sans Serif" w:cs="Times New Roman"/>
        </w:rPr>
        <w:t>)</w:t>
      </w:r>
    </w:p>
  </w:comment>
  <w:comment w:id="46" w:author="Werner Joerg" w:date="2012-06-21T13:12:00Z" w:initials="Werner Jo">
    <w:p w:rsidR="00766D7F" w:rsidRDefault="00766D7F">
      <w:pPr>
        <w:suppressAutoHyphens/>
        <w:spacing w:after="0"/>
      </w:pPr>
      <w:r>
        <w:rPr>
          <w:rStyle w:val="CommentReference"/>
        </w:rPr>
        <w:annotationRef/>
      </w:r>
      <w:proofErr w:type="spellStart"/>
      <w:r>
        <w:rPr>
          <w:rFonts w:ascii="Microsoft Sans Serif" w:hAnsi="Microsoft Sans Serif" w:cs="Times New Roman"/>
        </w:rPr>
        <w:t>DDSpreadsheet</w:t>
      </w:r>
      <w:proofErr w:type="spellEnd"/>
      <w:r>
        <w:rPr>
          <w:rFonts w:ascii="Microsoft Sans Serif" w:hAnsi="Microsoft Sans Serif" w:cs="Times New Roman"/>
        </w:rPr>
        <w:t xml:space="preserve"> notes:</w:t>
      </w:r>
    </w:p>
    <w:p w:rsidR="00766D7F" w:rsidRDefault="00766D7F">
      <w:pPr>
        <w:suppressAutoHyphens/>
        <w:spacing w:after="0"/>
      </w:pPr>
      <w:r>
        <w:rPr>
          <w:rFonts w:ascii="Microsoft Sans Serif" w:hAnsi="Microsoft Sans Serif" w:cs="Times New Roman"/>
        </w:rPr>
        <w:t>“GENERAL NOTE:  ADD AN ELEMENT TO THE DATA DICTIONARY CALLED "</w:t>
      </w:r>
      <w:proofErr w:type="spellStart"/>
      <w:r>
        <w:rPr>
          <w:rFonts w:ascii="Microsoft Sans Serif" w:hAnsi="Microsoft Sans Serif" w:cs="Times New Roman"/>
        </w:rPr>
        <w:t>ValueKeyType</w:t>
      </w:r>
      <w:proofErr w:type="spellEnd"/>
      <w:r>
        <w:rPr>
          <w:rFonts w:ascii="Microsoft Sans Serif" w:hAnsi="Microsoft Sans Serif" w:cs="Times New Roman"/>
        </w:rPr>
        <w:t>" to define it once and only once for each instance used here”</w:t>
      </w:r>
    </w:p>
    <w:p w:rsidR="00766D7F" w:rsidRDefault="00766D7F">
      <w:pPr>
        <w:suppressAutoHyphens/>
        <w:spacing w:after="0"/>
      </w:pPr>
      <w:r>
        <w:rPr>
          <w:rFonts w:ascii="Microsoft Sans Serif" w:hAnsi="Microsoft Sans Serif" w:cs="Times New Roman"/>
        </w:rPr>
        <w:t xml:space="preserve">Isn't that already defined in </w:t>
      </w:r>
      <w:proofErr w:type="spellStart"/>
      <w:r>
        <w:rPr>
          <w:rFonts w:ascii="Microsoft Sans Serif" w:hAnsi="Microsoft Sans Serif" w:cs="Times New Roman"/>
        </w:rPr>
        <w:t>ct</w:t>
      </w:r>
      <w:proofErr w:type="spellEnd"/>
      <w:proofErr w:type="gramStart"/>
      <w:r>
        <w:rPr>
          <w:rFonts w:ascii="Microsoft Sans Serif" w:hAnsi="Microsoft Sans Serif" w:cs="Times New Roman"/>
        </w:rPr>
        <w:t>:?</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54" w:rsidRDefault="00B64454">
      <w:pPr>
        <w:spacing w:after="0"/>
      </w:pPr>
      <w:r>
        <w:separator/>
      </w:r>
    </w:p>
  </w:endnote>
  <w:endnote w:type="continuationSeparator" w:id="0">
    <w:p w:rsidR="00B64454" w:rsidRDefault="00B644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arSymbol">
    <w:charset w:val="02"/>
    <w:family w:val="auto"/>
    <w:pitch w:val="default"/>
  </w:font>
  <w:font w:name="OpenSymbol">
    <w:altName w:val="Times New Roman"/>
    <w:charset w:val="00"/>
    <w:family w:val="auto"/>
    <w:pitch w:val="default"/>
  </w:font>
  <w:font w:name="Arial, sans-serif">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7F" w:rsidRDefault="00766D7F">
    <w:pPr>
      <w:pStyle w:val="Footer"/>
      <w:tabs>
        <w:tab w:val="clear" w:pos="4320"/>
        <w:tab w:val="clear" w:pos="8640"/>
        <w:tab w:val="center" w:pos="4608"/>
        <w:tab w:val="right" w:pos="9360"/>
      </w:tabs>
      <w:spacing w:before="80" w:after="0"/>
      <w:rPr>
        <w:sz w:val="16"/>
        <w:szCs w:val="16"/>
      </w:rPr>
    </w:pPr>
    <w:proofErr w:type="gramStart"/>
    <w:r>
      <w:rPr>
        <w:sz w:val="16"/>
        <w:szCs w:val="16"/>
      </w:rPr>
      <w:t>edxl-tep-v1.0-wd01</w:t>
    </w:r>
    <w:proofErr w:type="gramEnd"/>
    <w:r>
      <w:rPr>
        <w:sz w:val="16"/>
        <w:szCs w:val="16"/>
      </w:rPr>
      <w:tab/>
      <w:t>Working Draft 01</w:t>
    </w:r>
    <w:r>
      <w:rPr>
        <w:sz w:val="16"/>
        <w:szCs w:val="16"/>
      </w:rPr>
      <w:tab/>
      <w:t>14 June 2012</w:t>
    </w:r>
  </w:p>
  <w:p w:rsidR="00766D7F" w:rsidRDefault="00766D7F">
    <w:pPr>
      <w:pStyle w:val="Footer"/>
      <w:tabs>
        <w:tab w:val="clear" w:pos="4320"/>
        <w:tab w:val="clear" w:pos="8640"/>
        <w:tab w:val="center" w:pos="4692"/>
        <w:tab w:val="right" w:pos="9360"/>
      </w:tabs>
      <w:spacing w:after="0"/>
    </w:pPr>
    <w:r>
      <w:rPr>
        <w:rStyle w:val="PageNumber"/>
        <w:sz w:val="16"/>
        <w:szCs w:val="16"/>
      </w:rPr>
      <w:t>Standards Track Draft</w:t>
    </w:r>
    <w:r>
      <w:rPr>
        <w:rStyle w:val="PageNumber"/>
        <w:sz w:val="16"/>
        <w:szCs w:val="16"/>
      </w:rPr>
      <w:tab/>
      <w:t>Copyright © OASIS Open 2012. All Rights Reserved.</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75492">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ARABIC </w:instrText>
    </w:r>
    <w:r>
      <w:rPr>
        <w:rStyle w:val="PageNumber"/>
        <w:sz w:val="16"/>
        <w:szCs w:val="16"/>
      </w:rPr>
      <w:fldChar w:fldCharType="separate"/>
    </w:r>
    <w:r w:rsidR="00075492">
      <w:rPr>
        <w:rStyle w:val="PageNumber"/>
        <w:noProof/>
        <w:sz w:val="16"/>
        <w:szCs w:val="16"/>
      </w:rPr>
      <w:t>16</w:t>
    </w:r>
    <w:r>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7F" w:rsidRDefault="00766D7F">
    <w:pPr>
      <w:pStyle w:val="Footer"/>
      <w:tabs>
        <w:tab w:val="clear" w:pos="4320"/>
        <w:tab w:val="clear" w:pos="8640"/>
        <w:tab w:val="center" w:pos="4608"/>
        <w:tab w:val="right" w:pos="9360"/>
      </w:tabs>
      <w:spacing w:before="80" w:after="0"/>
      <w:rPr>
        <w:sz w:val="16"/>
        <w:szCs w:val="16"/>
      </w:rPr>
    </w:pPr>
    <w:proofErr w:type="gramStart"/>
    <w:r>
      <w:rPr>
        <w:sz w:val="16"/>
        <w:szCs w:val="16"/>
      </w:rPr>
      <w:t>edxl-tep-v1.0-wd01</w:t>
    </w:r>
    <w:proofErr w:type="gramEnd"/>
    <w:r>
      <w:rPr>
        <w:sz w:val="16"/>
        <w:szCs w:val="16"/>
      </w:rPr>
      <w:tab/>
      <w:t>Working Draft 01</w:t>
    </w:r>
    <w:r>
      <w:rPr>
        <w:sz w:val="16"/>
        <w:szCs w:val="16"/>
      </w:rPr>
      <w:tab/>
      <w:t>14 June 2012</w:t>
    </w:r>
  </w:p>
  <w:p w:rsidR="00766D7F" w:rsidRDefault="00766D7F">
    <w:pPr>
      <w:pStyle w:val="Footer"/>
      <w:tabs>
        <w:tab w:val="clear" w:pos="4320"/>
        <w:tab w:val="clear" w:pos="8640"/>
        <w:tab w:val="center" w:pos="4692"/>
        <w:tab w:val="right" w:pos="9360"/>
      </w:tabs>
      <w:spacing w:after="0"/>
    </w:pPr>
    <w:r>
      <w:rPr>
        <w:rStyle w:val="PageNumber"/>
        <w:sz w:val="16"/>
        <w:szCs w:val="16"/>
      </w:rPr>
      <w:t>Standards Track Draft</w:t>
    </w:r>
    <w:r>
      <w:rPr>
        <w:rStyle w:val="PageNumber"/>
        <w:sz w:val="16"/>
        <w:szCs w:val="16"/>
      </w:rPr>
      <w:tab/>
      <w:t>Copyright © OASIS Open 2012. All Rights Reserved.</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75492">
      <w:rPr>
        <w:rStyle w:val="PageNumber"/>
        <w:noProof/>
        <w:sz w:val="16"/>
        <w:szCs w:val="16"/>
      </w:rPr>
      <w:t>27</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ARABIC </w:instrText>
    </w:r>
    <w:r>
      <w:rPr>
        <w:rStyle w:val="PageNumber"/>
        <w:sz w:val="16"/>
        <w:szCs w:val="16"/>
      </w:rPr>
      <w:fldChar w:fldCharType="separate"/>
    </w:r>
    <w:r w:rsidR="00075492">
      <w:rPr>
        <w:rStyle w:val="PageNumber"/>
        <w:noProof/>
        <w:sz w:val="16"/>
        <w:szCs w:val="16"/>
      </w:rPr>
      <w:t>27</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54" w:rsidRDefault="00B64454">
      <w:pPr>
        <w:spacing w:after="0"/>
      </w:pPr>
      <w:r>
        <w:rPr>
          <w:color w:val="000000"/>
        </w:rPr>
        <w:separator/>
      </w:r>
    </w:p>
  </w:footnote>
  <w:footnote w:type="continuationSeparator" w:id="0">
    <w:p w:rsidR="00B64454" w:rsidRDefault="00B644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7F" w:rsidRDefault="00766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D7C"/>
    <w:multiLevelType w:val="multilevel"/>
    <w:tmpl w:val="435463D0"/>
    <w:styleLink w:val="WW8Num11"/>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nsid w:val="02175E94"/>
    <w:multiLevelType w:val="multilevel"/>
    <w:tmpl w:val="17545E24"/>
    <w:styleLink w:val="WW8Num21"/>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
    <w:nsid w:val="021B644E"/>
    <w:multiLevelType w:val="multilevel"/>
    <w:tmpl w:val="C382FF28"/>
    <w:styleLink w:val="WW8Num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BC2693"/>
    <w:multiLevelType w:val="multilevel"/>
    <w:tmpl w:val="FE523FEC"/>
    <w:styleLink w:val="WW8Num9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
    <w:nsid w:val="02EF2A21"/>
    <w:multiLevelType w:val="multilevel"/>
    <w:tmpl w:val="C888A326"/>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5">
    <w:nsid w:val="03102156"/>
    <w:multiLevelType w:val="multilevel"/>
    <w:tmpl w:val="114E1AF8"/>
    <w:styleLink w:val="WW8Num64"/>
    <w:lvl w:ilvl="0">
      <w:start w:val="1"/>
      <w:numFmt w:val="decimal"/>
      <w:lvlText w:val="(%1)"/>
      <w:lvlJc w:val="left"/>
      <w:pPr>
        <w:ind w:left="1776" w:hanging="48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6">
    <w:nsid w:val="05720EA8"/>
    <w:multiLevelType w:val="multilevel"/>
    <w:tmpl w:val="E2DA72B0"/>
    <w:styleLink w:val="WW8Num2"/>
    <w:lvl w:ilvl="0">
      <w:start w:val="1"/>
      <w:numFmt w:val="decimal"/>
      <w:lvlText w:val="%1."/>
      <w:lvlJc w:val="left"/>
      <w:pPr>
        <w:ind w:left="144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
    <w:nsid w:val="06244433"/>
    <w:multiLevelType w:val="multilevel"/>
    <w:tmpl w:val="41F6DC50"/>
    <w:styleLink w:val="WW8Num5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F91CC6"/>
    <w:multiLevelType w:val="multilevel"/>
    <w:tmpl w:val="1C4CDBFC"/>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
    <w:nsid w:val="08276868"/>
    <w:multiLevelType w:val="multilevel"/>
    <w:tmpl w:val="4AE6D454"/>
    <w:styleLink w:val="WW8Num85"/>
    <w:lvl w:ilvl="0">
      <w:start w:val="1"/>
      <w:numFmt w:val="decimal"/>
      <w:lvlText w:val="%1."/>
      <w:lvlJc w:val="left"/>
      <w:pPr>
        <w:ind w:left="4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
    <w:nsid w:val="08501773"/>
    <w:multiLevelType w:val="multilevel"/>
    <w:tmpl w:val="B6A2D66A"/>
    <w:styleLink w:val="WW8Num82"/>
    <w:lvl w:ilvl="0">
      <w:numFmt w:val="bullet"/>
      <w:lvlText w:val=""/>
      <w:lvlJc w:val="left"/>
      <w:pPr>
        <w:ind w:left="778"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
    <w:nsid w:val="085D1605"/>
    <w:multiLevelType w:val="multilevel"/>
    <w:tmpl w:val="EC8093C0"/>
    <w:styleLink w:val="WW8Num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87F2B70"/>
    <w:multiLevelType w:val="multilevel"/>
    <w:tmpl w:val="49AEEBF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8C80EE9"/>
    <w:multiLevelType w:val="multilevel"/>
    <w:tmpl w:val="417A4CBE"/>
    <w:styleLink w:val="WW8Num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
    <w:nsid w:val="08DC04D2"/>
    <w:multiLevelType w:val="multilevel"/>
    <w:tmpl w:val="1E669704"/>
    <w:styleLink w:val="WW8Num5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09A95561"/>
    <w:multiLevelType w:val="multilevel"/>
    <w:tmpl w:val="75189C2E"/>
    <w:styleLink w:val="WW8Num20"/>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6">
    <w:nsid w:val="0C565F88"/>
    <w:multiLevelType w:val="multilevel"/>
    <w:tmpl w:val="4B405FA8"/>
    <w:styleLink w:val="WWOutlineListStyl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0CF3064E"/>
    <w:multiLevelType w:val="multilevel"/>
    <w:tmpl w:val="34E0ED00"/>
    <w:styleLink w:val="WW8Num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8">
    <w:nsid w:val="0D1C2B2B"/>
    <w:multiLevelType w:val="multilevel"/>
    <w:tmpl w:val="A68E17CE"/>
    <w:styleLink w:val="WW8Num79"/>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9">
    <w:nsid w:val="0FC52E2F"/>
    <w:multiLevelType w:val="multilevel"/>
    <w:tmpl w:val="FAC03728"/>
    <w:styleLink w:val="WW8Num91"/>
    <w:lvl w:ilvl="0">
      <w:start w:val="2"/>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0">
    <w:nsid w:val="104B4FD3"/>
    <w:multiLevelType w:val="multilevel"/>
    <w:tmpl w:val="25E89ECE"/>
    <w:styleLink w:val="WW8Num58"/>
    <w:lvl w:ilvl="0">
      <w:start w:val="1"/>
      <w:numFmt w:val="decimal"/>
      <w:lvlText w:val="%1."/>
      <w:lvlJc w:val="left"/>
      <w:pPr>
        <w:ind w:left="1440" w:hanging="360"/>
      </w:pPr>
    </w:lvl>
    <w:lvl w:ilvl="1">
      <w:start w:val="1"/>
      <w:numFmt w:val="decimal"/>
      <w:lvlText w:val="%1.%2 "/>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1">
    <w:nsid w:val="10647FCC"/>
    <w:multiLevelType w:val="multilevel"/>
    <w:tmpl w:val="19E0F400"/>
    <w:styleLink w:val="WW8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2">
    <w:nsid w:val="11510A8F"/>
    <w:multiLevelType w:val="multilevel"/>
    <w:tmpl w:val="62C46574"/>
    <w:styleLink w:val="BulletRelatedWork"/>
    <w:lvl w:ilvl="0">
      <w:numFmt w:val="bullet"/>
      <w:pStyle w:val="RelatedWork"/>
      <w:lvlText w:val="•"/>
      <w:lvlJc w:val="left"/>
      <w:pPr>
        <w:ind w:left="1080" w:hanging="360"/>
      </w:pPr>
      <w:rPr>
        <w:rFonts w:ascii="StarSymbol" w:eastAsia="OpenSymbol" w:hAnsi="StarSymbol" w:cs="OpenSymbol"/>
      </w:rPr>
    </w:lvl>
    <w:lvl w:ilvl="1">
      <w:numFmt w:val="bullet"/>
      <w:lvlText w:val="•"/>
      <w:lvlJc w:val="left"/>
      <w:pPr>
        <w:ind w:left="2160" w:hanging="360"/>
      </w:pPr>
      <w:rPr>
        <w:rFonts w:ascii="StarSymbol" w:eastAsia="OpenSymbol" w:hAnsi="StarSymbol" w:cs="OpenSymbol"/>
      </w:rPr>
    </w:lvl>
    <w:lvl w:ilvl="2">
      <w:numFmt w:val="bullet"/>
      <w:lvlText w:val="•"/>
      <w:lvlJc w:val="left"/>
      <w:pPr>
        <w:ind w:left="2880" w:hanging="360"/>
      </w:pPr>
      <w:rPr>
        <w:rFonts w:ascii="StarSymbol" w:eastAsia="OpenSymbol" w:hAnsi="StarSymbol" w:cs="OpenSymbol"/>
      </w:rPr>
    </w:lvl>
    <w:lvl w:ilvl="3">
      <w:numFmt w:val="bullet"/>
      <w:lvlText w:val="•"/>
      <w:lvlJc w:val="left"/>
      <w:pPr>
        <w:ind w:left="3600" w:hanging="360"/>
      </w:pPr>
      <w:rPr>
        <w:rFonts w:ascii="StarSymbol" w:eastAsia="OpenSymbol" w:hAnsi="StarSymbol" w:cs="OpenSymbol"/>
      </w:rPr>
    </w:lvl>
    <w:lvl w:ilvl="4">
      <w:numFmt w:val="bullet"/>
      <w:lvlText w:val="•"/>
      <w:lvlJc w:val="left"/>
      <w:pPr>
        <w:ind w:left="4320" w:hanging="360"/>
      </w:pPr>
      <w:rPr>
        <w:rFonts w:ascii="StarSymbol" w:eastAsia="OpenSymbol" w:hAnsi="StarSymbol" w:cs="OpenSymbol"/>
      </w:rPr>
    </w:lvl>
    <w:lvl w:ilvl="5">
      <w:numFmt w:val="bullet"/>
      <w:lvlText w:val="•"/>
      <w:lvlJc w:val="left"/>
      <w:pPr>
        <w:ind w:left="5040" w:hanging="360"/>
      </w:pPr>
      <w:rPr>
        <w:rFonts w:ascii="StarSymbol" w:eastAsia="OpenSymbol" w:hAnsi="StarSymbol" w:cs="OpenSymbol"/>
      </w:rPr>
    </w:lvl>
    <w:lvl w:ilvl="6">
      <w:numFmt w:val="bullet"/>
      <w:lvlText w:val="•"/>
      <w:lvlJc w:val="left"/>
      <w:pPr>
        <w:ind w:left="5760" w:hanging="360"/>
      </w:pPr>
      <w:rPr>
        <w:rFonts w:ascii="StarSymbol" w:eastAsia="OpenSymbol" w:hAnsi="StarSymbol" w:cs="OpenSymbol"/>
      </w:rPr>
    </w:lvl>
    <w:lvl w:ilvl="7">
      <w:numFmt w:val="bullet"/>
      <w:lvlText w:val="•"/>
      <w:lvlJc w:val="left"/>
      <w:pPr>
        <w:ind w:left="6480" w:hanging="360"/>
      </w:pPr>
      <w:rPr>
        <w:rFonts w:ascii="StarSymbol" w:eastAsia="OpenSymbol" w:hAnsi="StarSymbol" w:cs="OpenSymbol"/>
      </w:rPr>
    </w:lvl>
    <w:lvl w:ilvl="8">
      <w:numFmt w:val="bullet"/>
      <w:lvlText w:val="•"/>
      <w:lvlJc w:val="left"/>
      <w:pPr>
        <w:ind w:left="7200" w:hanging="360"/>
      </w:pPr>
      <w:rPr>
        <w:rFonts w:ascii="StarSymbol" w:eastAsia="OpenSymbol" w:hAnsi="StarSymbol" w:cs="OpenSymbol"/>
      </w:rPr>
    </w:lvl>
  </w:abstractNum>
  <w:abstractNum w:abstractNumId="23">
    <w:nsid w:val="12A31C31"/>
    <w:multiLevelType w:val="multilevel"/>
    <w:tmpl w:val="5B8C74B0"/>
    <w:styleLink w:val="WW8Num8"/>
    <w:lvl w:ilvl="0">
      <w:numFmt w:val="bullet"/>
      <w:lvlText w:val="–"/>
      <w:lvlJc w:val="left"/>
      <w:pPr>
        <w:ind w:left="720" w:hanging="360"/>
      </w:pPr>
      <w:rPr>
        <w:rFonts w:ascii="Arial, sans-serif" w:hAnsi="Arial, sans-serif"/>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4">
    <w:nsid w:val="16336574"/>
    <w:multiLevelType w:val="multilevel"/>
    <w:tmpl w:val="ADA2953A"/>
    <w:styleLink w:val="WW8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5">
    <w:nsid w:val="16A14F11"/>
    <w:multiLevelType w:val="multilevel"/>
    <w:tmpl w:val="EF2CFDA6"/>
    <w:styleLink w:val="WW8Num6"/>
    <w:lvl w:ilvl="0">
      <w:numFmt w:val="bullet"/>
      <w:lvlText w:val=""/>
      <w:lvlJc w:val="left"/>
      <w:pPr>
        <w:ind w:left="144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6">
    <w:nsid w:val="17606A40"/>
    <w:multiLevelType w:val="multilevel"/>
    <w:tmpl w:val="CD6E68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19422E91"/>
    <w:multiLevelType w:val="multilevel"/>
    <w:tmpl w:val="493CDBDC"/>
    <w:styleLink w:val="WW8Num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8">
    <w:nsid w:val="1B8A331C"/>
    <w:multiLevelType w:val="multilevel"/>
    <w:tmpl w:val="DB9A4676"/>
    <w:styleLink w:val="WW8Num7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29">
    <w:nsid w:val="1CE77262"/>
    <w:multiLevelType w:val="multilevel"/>
    <w:tmpl w:val="BE904D3A"/>
    <w:styleLink w:val="WW8Num9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0">
    <w:nsid w:val="1DF573EB"/>
    <w:multiLevelType w:val="multilevel"/>
    <w:tmpl w:val="80A47226"/>
    <w:styleLink w:val="WW8Num4"/>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1">
    <w:nsid w:val="21C37EC1"/>
    <w:multiLevelType w:val="multilevel"/>
    <w:tmpl w:val="01A0BD68"/>
    <w:styleLink w:val="WW8Num87"/>
    <w:lvl w:ilvl="0">
      <w:numFmt w:val="bullet"/>
      <w:lvlText w:val=""/>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2">
    <w:nsid w:val="236F0BC0"/>
    <w:multiLevelType w:val="multilevel"/>
    <w:tmpl w:val="E12ACE56"/>
    <w:styleLink w:val="WW8Num3"/>
    <w:lvl w:ilvl="0">
      <w:start w:val="1"/>
      <w:numFmt w:val="decimal"/>
      <w:lvlText w:val="%1."/>
      <w:lvlJc w:val="left"/>
      <w:pPr>
        <w:ind w:left="108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3">
    <w:nsid w:val="23BF1AEE"/>
    <w:multiLevelType w:val="multilevel"/>
    <w:tmpl w:val="C366D7FE"/>
    <w:styleLink w:val="WW8Num44"/>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4">
    <w:nsid w:val="24F74F6F"/>
    <w:multiLevelType w:val="multilevel"/>
    <w:tmpl w:val="49326658"/>
    <w:styleLink w:val="WW8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5">
    <w:nsid w:val="252F3A28"/>
    <w:multiLevelType w:val="multilevel"/>
    <w:tmpl w:val="96302FE2"/>
    <w:styleLink w:val="AppendixNumTry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5BE1C72"/>
    <w:multiLevelType w:val="multilevel"/>
    <w:tmpl w:val="EBFCA23E"/>
    <w:styleLink w:val="WW8Num25"/>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7">
    <w:nsid w:val="269F48B9"/>
    <w:multiLevelType w:val="multilevel"/>
    <w:tmpl w:val="2870BE68"/>
    <w:styleLink w:val="WW8Num86"/>
    <w:lvl w:ilvl="0">
      <w:numFmt w:val="bullet"/>
      <w:lvlText w:val="-"/>
      <w:lvlJc w:val="left"/>
      <w:pPr>
        <w:ind w:left="108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8">
    <w:nsid w:val="26E96C2A"/>
    <w:multiLevelType w:val="multilevel"/>
    <w:tmpl w:val="B5BA27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27327201"/>
    <w:multiLevelType w:val="multilevel"/>
    <w:tmpl w:val="D40C6A7C"/>
    <w:styleLink w:val="WW8Num5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287D09C9"/>
    <w:multiLevelType w:val="multilevel"/>
    <w:tmpl w:val="31640E76"/>
    <w:styleLink w:val="WW8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A0B1A70"/>
    <w:multiLevelType w:val="multilevel"/>
    <w:tmpl w:val="F8FC66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2A163E21"/>
    <w:multiLevelType w:val="multilevel"/>
    <w:tmpl w:val="6C3A654E"/>
    <w:styleLink w:val="WW8Num69"/>
    <w:lvl w:ilvl="0">
      <w:start w:val="6"/>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
    <w:nsid w:val="2A4729F1"/>
    <w:multiLevelType w:val="multilevel"/>
    <w:tmpl w:val="6344BE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C655D32"/>
    <w:multiLevelType w:val="multilevel"/>
    <w:tmpl w:val="0DF84EE6"/>
    <w:styleLink w:val="WW8Num8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2D3326CA"/>
    <w:multiLevelType w:val="multilevel"/>
    <w:tmpl w:val="A02C6534"/>
    <w:styleLink w:val="WW8Num8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6">
    <w:nsid w:val="2D9F6C65"/>
    <w:multiLevelType w:val="multilevel"/>
    <w:tmpl w:val="79541A48"/>
    <w:styleLink w:val="WW8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DF07BD8"/>
    <w:multiLevelType w:val="multilevel"/>
    <w:tmpl w:val="DC30A248"/>
    <w:styleLink w:val="WW8Num5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2E756FDC"/>
    <w:multiLevelType w:val="multilevel"/>
    <w:tmpl w:val="397A73E8"/>
    <w:styleLink w:val="WW8Num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9">
    <w:nsid w:val="2F5756AF"/>
    <w:multiLevelType w:val="multilevel"/>
    <w:tmpl w:val="63B816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0">
    <w:nsid w:val="307C5498"/>
    <w:multiLevelType w:val="multilevel"/>
    <w:tmpl w:val="35DE0F8C"/>
    <w:styleLink w:val="WW8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1">
    <w:nsid w:val="33057F40"/>
    <w:multiLevelType w:val="multilevel"/>
    <w:tmpl w:val="0AAA82F6"/>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2">
    <w:nsid w:val="34AD0F81"/>
    <w:multiLevelType w:val="multilevel"/>
    <w:tmpl w:val="DFEC0FEE"/>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3">
    <w:nsid w:val="35570003"/>
    <w:multiLevelType w:val="hybridMultilevel"/>
    <w:tmpl w:val="4D0E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796466"/>
    <w:multiLevelType w:val="multilevel"/>
    <w:tmpl w:val="BAA83686"/>
    <w:styleLink w:val="WW8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5">
    <w:nsid w:val="38A55696"/>
    <w:multiLevelType w:val="multilevel"/>
    <w:tmpl w:val="0180CF78"/>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56">
    <w:nsid w:val="3BB71BDE"/>
    <w:multiLevelType w:val="multilevel"/>
    <w:tmpl w:val="740A298A"/>
    <w:styleLink w:val="WW8Num3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BBC5A6D"/>
    <w:multiLevelType w:val="multilevel"/>
    <w:tmpl w:val="A3662F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8">
    <w:nsid w:val="3C221DA4"/>
    <w:multiLevelType w:val="multilevel"/>
    <w:tmpl w:val="A2F4F896"/>
    <w:styleLink w:val="WW8Num92"/>
    <w:lvl w:ilvl="0">
      <w:start w:val="1"/>
      <w:numFmt w:val="none"/>
      <w:lvlText w:val="%1"/>
      <w:lvlJc w:val="left"/>
      <w:pPr>
        <w:ind w:left="360" w:hanging="360"/>
      </w:pPr>
    </w:lvl>
    <w:lvl w:ilvl="1">
      <w:start w:val="1"/>
      <w:numFmt w:val="none"/>
      <w:lvlText w:val="%2o"/>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lvl>
    <w:lvl w:ilvl="8">
      <w:start w:val="1"/>
      <w:numFmt w:val="none"/>
      <w:lvlText w:val="%9"/>
      <w:lvlJc w:val="left"/>
      <w:pPr>
        <w:ind w:left="3240" w:hanging="360"/>
      </w:pPr>
    </w:lvl>
  </w:abstractNum>
  <w:abstractNum w:abstractNumId="59">
    <w:nsid w:val="3C357EBA"/>
    <w:multiLevelType w:val="multilevel"/>
    <w:tmpl w:val="11CE8C6A"/>
    <w:styleLink w:val="WW8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0">
    <w:nsid w:val="3D760A26"/>
    <w:multiLevelType w:val="multilevel"/>
    <w:tmpl w:val="F236AD48"/>
    <w:styleLink w:val="LFO30"/>
    <w:lvl w:ilvl="0">
      <w:numFmt w:val="bullet"/>
      <w:pStyle w:val="ListBullet2"/>
      <w:lvlText w:val="–"/>
      <w:lvlJc w:val="left"/>
      <w:pPr>
        <w:ind w:left="720" w:hanging="360"/>
      </w:pPr>
      <w:rPr>
        <w:rFonts w:ascii="Arial, sans-serif" w:hAnsi="Arial, sans-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F043680"/>
    <w:multiLevelType w:val="multilevel"/>
    <w:tmpl w:val="33F82FC2"/>
    <w:styleLink w:val="WW8Num37"/>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nsid w:val="3F5E47C0"/>
    <w:multiLevelType w:val="multilevel"/>
    <w:tmpl w:val="84DE9F6A"/>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FD35278"/>
    <w:multiLevelType w:val="multilevel"/>
    <w:tmpl w:val="FA7C219C"/>
    <w:styleLink w:val="WW8Num60"/>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nsid w:val="400364EE"/>
    <w:multiLevelType w:val="multilevel"/>
    <w:tmpl w:val="934C2FEC"/>
    <w:styleLink w:val="WW8Num32"/>
    <w:lvl w:ilvl="0">
      <w:start w:val="1"/>
      <w:numFmt w:val="none"/>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nsid w:val="40762455"/>
    <w:multiLevelType w:val="multilevel"/>
    <w:tmpl w:val="181655EA"/>
    <w:styleLink w:val="LFO8"/>
    <w:lvl w:ilvl="0">
      <w:numFmt w:val="bullet"/>
      <w:pStyle w:val="List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4439098E"/>
    <w:multiLevelType w:val="multilevel"/>
    <w:tmpl w:val="71CC431A"/>
    <w:styleLink w:val="WW8Num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44A1053B"/>
    <w:multiLevelType w:val="multilevel"/>
    <w:tmpl w:val="A36A8AC0"/>
    <w:styleLink w:val="WW8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8">
    <w:nsid w:val="464F007A"/>
    <w:multiLevelType w:val="multilevel"/>
    <w:tmpl w:val="F9C6CFF0"/>
    <w:styleLink w:val="WW8Num55"/>
    <w:lvl w:ilvl="0">
      <w:start w:val="1"/>
      <w:numFmt w:val="upperLetter"/>
      <w:lvlText w:val="Appendix %1."/>
      <w:lvlJc w:val="left"/>
      <w:pPr>
        <w:ind w:left="120" w:hanging="120"/>
      </w:pPr>
    </w:lvl>
    <w:lvl w:ilvl="1">
      <w:start w:val="1"/>
      <w:numFmt w:val="decimal"/>
      <w:lvlText w:val="%1.%2."/>
      <w:lvlJc w:val="left"/>
      <w:pPr>
        <w:ind w:left="120" w:hanging="120"/>
      </w:pPr>
    </w:lvl>
    <w:lvl w:ilvl="2">
      <w:start w:val="1"/>
      <w:numFmt w:val="decimal"/>
      <w:lvlText w:val="%1.%2.%3."/>
      <w:lvlJc w:val="left"/>
      <w:pPr>
        <w:ind w:left="120" w:hanging="120"/>
      </w:pPr>
    </w:lvl>
    <w:lvl w:ilvl="3">
      <w:start w:val="1"/>
      <w:numFmt w:val="decimal"/>
      <w:lvlText w:val="%1.%2.%3.%4."/>
      <w:lvlJc w:val="left"/>
      <w:pPr>
        <w:ind w:left="120" w:hanging="120"/>
      </w:pPr>
    </w:lvl>
    <w:lvl w:ilvl="4">
      <w:start w:val="1"/>
      <w:numFmt w:val="decimal"/>
      <w:lvlText w:val="%1.%2.%3.%4.%5"/>
      <w:lvlJc w:val="left"/>
      <w:pPr>
        <w:ind w:left="120" w:hanging="120"/>
      </w:pPr>
    </w:lvl>
    <w:lvl w:ilvl="5">
      <w:start w:val="1"/>
      <w:numFmt w:val="decimal"/>
      <w:lvlText w:val="%1.%2.%3.%4.%5.%6"/>
      <w:lvlJc w:val="left"/>
      <w:pPr>
        <w:ind w:left="120" w:hanging="120"/>
      </w:pPr>
    </w:lvl>
    <w:lvl w:ilvl="6">
      <w:start w:val="1"/>
      <w:numFmt w:val="decimal"/>
      <w:lvlText w:val="%1.%2.%3.%4.%5.%6.%7"/>
      <w:lvlJc w:val="left"/>
      <w:pPr>
        <w:ind w:left="120" w:hanging="120"/>
      </w:pPr>
    </w:lvl>
    <w:lvl w:ilvl="7">
      <w:start w:val="1"/>
      <w:numFmt w:val="decimal"/>
      <w:lvlText w:val="%1.%2.%3.%4.%5.%6.%7.%8"/>
      <w:lvlJc w:val="left"/>
      <w:pPr>
        <w:ind w:left="120" w:hanging="120"/>
      </w:pPr>
    </w:lvl>
    <w:lvl w:ilvl="8">
      <w:start w:val="1"/>
      <w:numFmt w:val="decimal"/>
      <w:lvlText w:val="%1.%2.%3.%4.%5.%6.%7.%8.%9"/>
      <w:lvlJc w:val="left"/>
      <w:pPr>
        <w:ind w:left="120" w:hanging="120"/>
      </w:pPr>
    </w:lvl>
  </w:abstractNum>
  <w:abstractNum w:abstractNumId="69">
    <w:nsid w:val="471F375F"/>
    <w:multiLevelType w:val="multilevel"/>
    <w:tmpl w:val="0FEACA2A"/>
    <w:styleLink w:val="WW8Num4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70">
    <w:nsid w:val="47903263"/>
    <w:multiLevelType w:val="multilevel"/>
    <w:tmpl w:val="7DE651D4"/>
    <w:styleLink w:val="WW8Num54"/>
    <w:lvl w:ilvl="0">
      <w:start w:val="7"/>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1">
    <w:nsid w:val="482E5E8A"/>
    <w:multiLevelType w:val="multilevel"/>
    <w:tmpl w:val="535C7ACE"/>
    <w:styleLink w:val="WW8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72">
    <w:nsid w:val="4A072BE6"/>
    <w:multiLevelType w:val="multilevel"/>
    <w:tmpl w:val="B5CE4DEA"/>
    <w:styleLink w:val="WW8Num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3">
    <w:nsid w:val="4A7D699A"/>
    <w:multiLevelType w:val="multilevel"/>
    <w:tmpl w:val="2C16ADAC"/>
    <w:styleLink w:val="WW8Num7"/>
    <w:lvl w:ilvl="0">
      <w:numFmt w:val="bullet"/>
      <w:lvlText w:val=""/>
      <w:lvlJc w:val="left"/>
      <w:pPr>
        <w:ind w:left="108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4">
    <w:nsid w:val="4D114D9D"/>
    <w:multiLevelType w:val="multilevel"/>
    <w:tmpl w:val="7F6CE842"/>
    <w:styleLink w:val="WW8Num2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75">
    <w:nsid w:val="4DC40AFA"/>
    <w:multiLevelType w:val="multilevel"/>
    <w:tmpl w:val="770C712A"/>
    <w:styleLink w:val="WW8Num9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76">
    <w:nsid w:val="4EFA2144"/>
    <w:multiLevelType w:val="multilevel"/>
    <w:tmpl w:val="E35E475E"/>
    <w:styleLink w:val="WW8Num5"/>
    <w:lvl w:ilvl="0">
      <w:numFmt w:val="bullet"/>
      <w:lvlText w:val=""/>
      <w:lvlJc w:val="left"/>
      <w:pPr>
        <w:ind w:left="180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7">
    <w:nsid w:val="4F774977"/>
    <w:multiLevelType w:val="multilevel"/>
    <w:tmpl w:val="533C96A8"/>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F842F22"/>
    <w:multiLevelType w:val="multilevel"/>
    <w:tmpl w:val="BC825A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9">
    <w:nsid w:val="50756C1C"/>
    <w:multiLevelType w:val="multilevel"/>
    <w:tmpl w:val="887EB930"/>
    <w:styleLink w:val="WW8Num9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0">
    <w:nsid w:val="51A1463F"/>
    <w:multiLevelType w:val="hybridMultilevel"/>
    <w:tmpl w:val="90464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1F745C7"/>
    <w:multiLevelType w:val="multilevel"/>
    <w:tmpl w:val="34FE3D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52695B2F"/>
    <w:multiLevelType w:val="multilevel"/>
    <w:tmpl w:val="A46A1850"/>
    <w:styleLink w:val="WW8Num10"/>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3">
    <w:nsid w:val="53563FA8"/>
    <w:multiLevelType w:val="multilevel"/>
    <w:tmpl w:val="C8C6E392"/>
    <w:styleLink w:val="WW8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4">
    <w:nsid w:val="54017C77"/>
    <w:multiLevelType w:val="multilevel"/>
    <w:tmpl w:val="53F442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560A091D"/>
    <w:multiLevelType w:val="multilevel"/>
    <w:tmpl w:val="82325EA6"/>
    <w:styleLink w:val="WW8Num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6">
    <w:nsid w:val="5646106A"/>
    <w:multiLevelType w:val="multilevel"/>
    <w:tmpl w:val="A9E2D2E2"/>
    <w:styleLink w:val="WW8Num42"/>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7">
    <w:nsid w:val="57DD793C"/>
    <w:multiLevelType w:val="multilevel"/>
    <w:tmpl w:val="9EE66306"/>
    <w:styleLink w:val="WW8Num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8">
    <w:nsid w:val="580453DF"/>
    <w:multiLevelType w:val="multilevel"/>
    <w:tmpl w:val="CC52DC2E"/>
    <w:styleLink w:val="WW8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89">
    <w:nsid w:val="591B2BEB"/>
    <w:multiLevelType w:val="multilevel"/>
    <w:tmpl w:val="2DD6D134"/>
    <w:styleLink w:val="LFO33"/>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nsid w:val="59A41EA3"/>
    <w:multiLevelType w:val="multilevel"/>
    <w:tmpl w:val="247AB5EC"/>
    <w:styleLink w:val="WW8Num4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1">
    <w:nsid w:val="5A165A43"/>
    <w:multiLevelType w:val="multilevel"/>
    <w:tmpl w:val="065E913E"/>
    <w:styleLink w:val="WW8Num38"/>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5A9D1459"/>
    <w:multiLevelType w:val="multilevel"/>
    <w:tmpl w:val="BCE4FCD0"/>
    <w:styleLink w:val="WW8Num59"/>
    <w:lvl w:ilvl="0">
      <w:start w:val="1"/>
      <w:numFmt w:val="none"/>
      <w:lvlText w:val="%1"/>
      <w:lvlJc w:val="left"/>
      <w:pPr>
        <w:ind w:left="720" w:hanging="360"/>
      </w:pPr>
    </w:lvl>
    <w:lvl w:ilvl="1">
      <w:start w:val="1"/>
      <w:numFmt w:val="none"/>
      <w:lvlText w:val="%2o"/>
      <w:lvlJc w:val="left"/>
      <w:pPr>
        <w:ind w:left="360" w:hanging="360"/>
      </w:pPr>
    </w:lvl>
    <w:lvl w:ilvl="2">
      <w:start w:val="1"/>
      <w:numFmt w:val="none"/>
      <w:lvlText w:val="%3"/>
      <w:lvlJc w:val="left"/>
      <w:pPr>
        <w:ind w:left="360" w:hanging="360"/>
      </w:pPr>
    </w:lvl>
    <w:lvl w:ilvl="3">
      <w:start w:val="1"/>
      <w:numFmt w:val="none"/>
      <w:lvlText w:val="%4"/>
      <w:lvlJc w:val="left"/>
      <w:pPr>
        <w:ind w:left="360" w:hanging="360"/>
      </w:pPr>
    </w:lvl>
    <w:lvl w:ilvl="4">
      <w:start w:val="1"/>
      <w:numFmt w:val="none"/>
      <w:lvlText w:val="%5o"/>
      <w:lvlJc w:val="left"/>
      <w:pPr>
        <w:ind w:left="720" w:hanging="360"/>
      </w:pPr>
    </w:lvl>
    <w:lvl w:ilvl="5">
      <w:start w:val="1"/>
      <w:numFmt w:val="none"/>
      <w:lvlText w:val="%6"/>
      <w:lvlJc w:val="left"/>
      <w:pPr>
        <w:ind w:left="1080" w:hanging="360"/>
      </w:pPr>
    </w:lvl>
    <w:lvl w:ilvl="6">
      <w:start w:val="1"/>
      <w:numFmt w:val="none"/>
      <w:lvlText w:val="%7"/>
      <w:lvlJc w:val="left"/>
      <w:pPr>
        <w:ind w:left="1440" w:hanging="360"/>
      </w:pPr>
    </w:lvl>
    <w:lvl w:ilvl="7">
      <w:start w:val="1"/>
      <w:numFmt w:val="none"/>
      <w:lvlText w:val="%8o"/>
      <w:lvlJc w:val="left"/>
      <w:pPr>
        <w:ind w:left="1800" w:hanging="360"/>
      </w:pPr>
    </w:lvl>
    <w:lvl w:ilvl="8">
      <w:start w:val="1"/>
      <w:numFmt w:val="none"/>
      <w:lvlText w:val="%9"/>
      <w:lvlJc w:val="left"/>
      <w:pPr>
        <w:ind w:left="2160" w:hanging="360"/>
      </w:pPr>
    </w:lvl>
  </w:abstractNum>
  <w:abstractNum w:abstractNumId="93">
    <w:nsid w:val="5C434467"/>
    <w:multiLevelType w:val="multilevel"/>
    <w:tmpl w:val="CB52917C"/>
    <w:styleLink w:val="WW8Num76"/>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4">
    <w:nsid w:val="5E610C33"/>
    <w:multiLevelType w:val="multilevel"/>
    <w:tmpl w:val="440AB4D6"/>
    <w:styleLink w:val="WW8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5F2E3F5E"/>
    <w:multiLevelType w:val="multilevel"/>
    <w:tmpl w:val="55B8D24A"/>
    <w:styleLink w:val="WW8Num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6">
    <w:nsid w:val="5F465077"/>
    <w:multiLevelType w:val="multilevel"/>
    <w:tmpl w:val="5C268F84"/>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7">
    <w:nsid w:val="61973107"/>
    <w:multiLevelType w:val="multilevel"/>
    <w:tmpl w:val="4886A04E"/>
    <w:styleLink w:val="WW8Num12"/>
    <w:lvl w:ilvl="0">
      <w:numFmt w:val="decimal"/>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8">
    <w:nsid w:val="61DD1D7C"/>
    <w:multiLevelType w:val="multilevel"/>
    <w:tmpl w:val="C95C8900"/>
    <w:styleLink w:val="WW8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lvl>
  </w:abstractNum>
  <w:abstractNum w:abstractNumId="99">
    <w:nsid w:val="62FC1932"/>
    <w:multiLevelType w:val="multilevel"/>
    <w:tmpl w:val="96DA9844"/>
    <w:styleLink w:val="WW8Num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0">
    <w:nsid w:val="650A030F"/>
    <w:multiLevelType w:val="multilevel"/>
    <w:tmpl w:val="2762231C"/>
    <w:styleLink w:val="AppendixNumbering"/>
    <w:lvl w:ilvl="0">
      <w:start w:val="1"/>
      <w:numFmt w:val="upperLetter"/>
      <w:pStyle w:val="AppendixHeading3"/>
      <w:lvlText w:val="Appendix %1  "/>
      <w:lvlJc w:val="left"/>
      <w:pPr>
        <w:ind w:left="432" w:hanging="432"/>
      </w:pPr>
    </w:lvl>
    <w:lvl w:ilvl="1">
      <w:start w:val="1"/>
      <w:numFmt w:val="decimal"/>
      <w:lvlText w:val="Appendix %1.%2  "/>
      <w:lvlJc w:val="left"/>
      <w:pPr>
        <w:ind w:left="576" w:hanging="576"/>
      </w:pPr>
    </w:lvl>
    <w:lvl w:ilvl="2">
      <w:start w:val="1"/>
      <w:numFmt w:val="decimal"/>
      <w:lvlText w:val="Appendix %1.%2.%3  "/>
      <w:lvlJc w:val="left"/>
      <w:pPr>
        <w:ind w:left="720" w:hanging="720"/>
      </w:pPr>
    </w:lvl>
    <w:lvl w:ilvl="3">
      <w:start w:val="1"/>
      <w:numFmt w:val="decimal"/>
      <w:lvlText w:val="Appendix %1.%2.%3.%4  "/>
      <w:lvlJc w:val="left"/>
      <w:pPr>
        <w:ind w:left="864" w:hanging="864"/>
      </w:pPr>
    </w:lvl>
    <w:lvl w:ilvl="4">
      <w:start w:val="1"/>
      <w:numFmt w:val="decimal"/>
      <w:lvlText w:val="Appendix %1.%2.%3.%4.%5  "/>
      <w:lvlJc w:val="left"/>
      <w:pPr>
        <w:ind w:left="1008" w:hanging="1008"/>
      </w:pPr>
    </w:lvl>
    <w:lvl w:ilvl="5">
      <w:start w:val="1"/>
      <w:numFmt w:val="decimal"/>
      <w:lvlText w:val="Appendix %1.%2.%3.%4.%5.%6  "/>
      <w:lvlJc w:val="left"/>
      <w:pPr>
        <w:ind w:left="1152" w:hanging="1152"/>
      </w:pPr>
    </w:lvl>
    <w:lvl w:ilvl="6">
      <w:start w:val="1"/>
      <w:numFmt w:val="decimal"/>
      <w:lvlText w:val="Appendix %1.%2.%3.%4.%5.%6.%7  "/>
      <w:lvlJc w:val="left"/>
      <w:pPr>
        <w:ind w:left="1296" w:hanging="1296"/>
      </w:pPr>
    </w:lvl>
    <w:lvl w:ilvl="7">
      <w:start w:val="1"/>
      <w:numFmt w:val="decimal"/>
      <w:lvlText w:val="Appendix %1.%2.%3.%4.%5.%6.%7.%8  "/>
      <w:lvlJc w:val="left"/>
      <w:pPr>
        <w:ind w:left="1440" w:hanging="1440"/>
      </w:pPr>
    </w:lvl>
    <w:lvl w:ilvl="8">
      <w:start w:val="1"/>
      <w:numFmt w:val="decimal"/>
      <w:lvlText w:val="Appendix %1.%2.%3.%4.%5.%6.%7.%8.%9  "/>
      <w:lvlJc w:val="left"/>
      <w:pPr>
        <w:ind w:left="1584" w:hanging="1584"/>
      </w:pPr>
    </w:lvl>
  </w:abstractNum>
  <w:abstractNum w:abstractNumId="101">
    <w:nsid w:val="65CB56E9"/>
    <w:multiLevelType w:val="multilevel"/>
    <w:tmpl w:val="EE361036"/>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2">
    <w:nsid w:val="6833359C"/>
    <w:multiLevelType w:val="multilevel"/>
    <w:tmpl w:val="D97C2274"/>
    <w:styleLink w:val="WW8Num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3">
    <w:nsid w:val="69F35872"/>
    <w:multiLevelType w:val="multilevel"/>
    <w:tmpl w:val="ABDA3748"/>
    <w:styleLink w:val="WW8Num70"/>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6A1449F2"/>
    <w:multiLevelType w:val="multilevel"/>
    <w:tmpl w:val="F816246E"/>
    <w:styleLink w:val="WW8Num35"/>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5">
    <w:nsid w:val="6B4E60B8"/>
    <w:multiLevelType w:val="multilevel"/>
    <w:tmpl w:val="694AC860"/>
    <w:styleLink w:val="WW8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6">
    <w:nsid w:val="6C123659"/>
    <w:multiLevelType w:val="multilevel"/>
    <w:tmpl w:val="45008DFA"/>
    <w:styleLink w:val="WW8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C97338D"/>
    <w:multiLevelType w:val="multilevel"/>
    <w:tmpl w:val="E7DEAEBA"/>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8">
    <w:nsid w:val="70DA3C6B"/>
    <w:multiLevelType w:val="multilevel"/>
    <w:tmpl w:val="0666DA82"/>
    <w:styleLink w:val="WW8Num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9">
    <w:nsid w:val="7125727A"/>
    <w:multiLevelType w:val="multilevel"/>
    <w:tmpl w:val="F82A2472"/>
    <w:styleLink w:val="WW8Num96"/>
    <w:lvl w:ilvl="0">
      <w:start w:val="1"/>
      <w:numFmt w:val="upperLetter"/>
      <w:lvlText w:val="%1."/>
      <w:lvlJc w:val="left"/>
      <w:pPr>
        <w:ind w:left="720" w:hanging="360"/>
      </w:pPr>
    </w:lvl>
    <w:lvl w:ilvl="1">
      <w:start w:val="1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71F17576"/>
    <w:multiLevelType w:val="multilevel"/>
    <w:tmpl w:val="0226B788"/>
    <w:styleLink w:val="WW8Num3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1">
    <w:nsid w:val="746938C9"/>
    <w:multiLevelType w:val="multilevel"/>
    <w:tmpl w:val="6A220B90"/>
    <w:styleLink w:val="WW8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2">
    <w:nsid w:val="746C20A8"/>
    <w:multiLevelType w:val="multilevel"/>
    <w:tmpl w:val="1624BC0E"/>
    <w:styleLink w:val="WW8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nsid w:val="74BD5AE8"/>
    <w:multiLevelType w:val="multilevel"/>
    <w:tmpl w:val="5A5611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4">
    <w:nsid w:val="76E91B6F"/>
    <w:multiLevelType w:val="multilevel"/>
    <w:tmpl w:val="461285EE"/>
    <w:styleLink w:val="WW8Num6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5">
    <w:nsid w:val="77554D1C"/>
    <w:multiLevelType w:val="multilevel"/>
    <w:tmpl w:val="FE629AFA"/>
    <w:styleLink w:val="WW8Num34"/>
    <w:lvl w:ilvl="0">
      <w:numFmt w:val="bullet"/>
      <w:lvlText w:val="-"/>
      <w:lvlJc w:val="left"/>
      <w:pPr>
        <w:ind w:left="36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6">
    <w:nsid w:val="77A53A24"/>
    <w:multiLevelType w:val="multilevel"/>
    <w:tmpl w:val="5CA4641C"/>
    <w:styleLink w:val="WW8Num6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77B81497"/>
    <w:multiLevelType w:val="multilevel"/>
    <w:tmpl w:val="3412EF76"/>
    <w:styleLink w:val="WW8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8">
    <w:nsid w:val="781B763D"/>
    <w:multiLevelType w:val="multilevel"/>
    <w:tmpl w:val="ADECBFA0"/>
    <w:styleLink w:val="WW8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9">
    <w:nsid w:val="7897016D"/>
    <w:multiLevelType w:val="multilevel"/>
    <w:tmpl w:val="C574B0C4"/>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0">
    <w:nsid w:val="792563B7"/>
    <w:multiLevelType w:val="multilevel"/>
    <w:tmpl w:val="74CA08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1">
    <w:nsid w:val="79964CE4"/>
    <w:multiLevelType w:val="multilevel"/>
    <w:tmpl w:val="FC2CEE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6"/>
  </w:num>
  <w:num w:numId="2">
    <w:abstractNumId w:val="4"/>
  </w:num>
  <w:num w:numId="3">
    <w:abstractNumId w:val="65"/>
  </w:num>
  <w:num w:numId="4">
    <w:abstractNumId w:val="60"/>
  </w:num>
  <w:num w:numId="5">
    <w:abstractNumId w:val="22"/>
  </w:num>
  <w:num w:numId="6">
    <w:abstractNumId w:val="89"/>
  </w:num>
  <w:num w:numId="7">
    <w:abstractNumId w:val="48"/>
  </w:num>
  <w:num w:numId="8">
    <w:abstractNumId w:val="6"/>
  </w:num>
  <w:num w:numId="9">
    <w:abstractNumId w:val="32"/>
  </w:num>
  <w:num w:numId="10">
    <w:abstractNumId w:val="30"/>
  </w:num>
  <w:num w:numId="11">
    <w:abstractNumId w:val="76"/>
  </w:num>
  <w:num w:numId="12">
    <w:abstractNumId w:val="25"/>
  </w:num>
  <w:num w:numId="13">
    <w:abstractNumId w:val="73"/>
  </w:num>
  <w:num w:numId="14">
    <w:abstractNumId w:val="23"/>
  </w:num>
  <w:num w:numId="15">
    <w:abstractNumId w:val="17"/>
  </w:num>
  <w:num w:numId="16">
    <w:abstractNumId w:val="82"/>
  </w:num>
  <w:num w:numId="17">
    <w:abstractNumId w:val="0"/>
  </w:num>
  <w:num w:numId="18">
    <w:abstractNumId w:val="97"/>
  </w:num>
  <w:num w:numId="19">
    <w:abstractNumId w:val="55"/>
  </w:num>
  <w:num w:numId="20">
    <w:abstractNumId w:val="88"/>
  </w:num>
  <w:num w:numId="21">
    <w:abstractNumId w:val="71"/>
  </w:num>
  <w:num w:numId="22">
    <w:abstractNumId w:val="101"/>
  </w:num>
  <w:num w:numId="23">
    <w:abstractNumId w:val="51"/>
  </w:num>
  <w:num w:numId="24">
    <w:abstractNumId w:val="72"/>
  </w:num>
  <w:num w:numId="25">
    <w:abstractNumId w:val="62"/>
  </w:num>
  <w:num w:numId="26">
    <w:abstractNumId w:val="15"/>
  </w:num>
  <w:num w:numId="27">
    <w:abstractNumId w:val="1"/>
  </w:num>
  <w:num w:numId="28">
    <w:abstractNumId w:val="119"/>
  </w:num>
  <w:num w:numId="29">
    <w:abstractNumId w:val="107"/>
  </w:num>
  <w:num w:numId="30">
    <w:abstractNumId w:val="96"/>
  </w:num>
  <w:num w:numId="31">
    <w:abstractNumId w:val="36"/>
  </w:num>
  <w:num w:numId="32">
    <w:abstractNumId w:val="74"/>
  </w:num>
  <w:num w:numId="33">
    <w:abstractNumId w:val="98"/>
  </w:num>
  <w:num w:numId="34">
    <w:abstractNumId w:val="50"/>
  </w:num>
  <w:num w:numId="35">
    <w:abstractNumId w:val="117"/>
  </w:num>
  <w:num w:numId="36">
    <w:abstractNumId w:val="8"/>
  </w:num>
  <w:num w:numId="37">
    <w:abstractNumId w:val="110"/>
  </w:num>
  <w:num w:numId="38">
    <w:abstractNumId w:val="64"/>
  </w:num>
  <w:num w:numId="39">
    <w:abstractNumId w:val="112"/>
  </w:num>
  <w:num w:numId="40">
    <w:abstractNumId w:val="115"/>
  </w:num>
  <w:num w:numId="41">
    <w:abstractNumId w:val="104"/>
  </w:num>
  <w:num w:numId="42">
    <w:abstractNumId w:val="105"/>
  </w:num>
  <w:num w:numId="43">
    <w:abstractNumId w:val="61"/>
  </w:num>
  <w:num w:numId="44">
    <w:abstractNumId w:val="91"/>
  </w:num>
  <w:num w:numId="45">
    <w:abstractNumId w:val="56"/>
  </w:num>
  <w:num w:numId="46">
    <w:abstractNumId w:val="118"/>
  </w:num>
  <w:num w:numId="47">
    <w:abstractNumId w:val="11"/>
  </w:num>
  <w:num w:numId="48">
    <w:abstractNumId w:val="86"/>
  </w:num>
  <w:num w:numId="49">
    <w:abstractNumId w:val="108"/>
  </w:num>
  <w:num w:numId="50">
    <w:abstractNumId w:val="33"/>
  </w:num>
  <w:num w:numId="51">
    <w:abstractNumId w:val="90"/>
  </w:num>
  <w:num w:numId="52">
    <w:abstractNumId w:val="69"/>
  </w:num>
  <w:num w:numId="53">
    <w:abstractNumId w:val="52"/>
  </w:num>
  <w:num w:numId="54">
    <w:abstractNumId w:val="66"/>
  </w:num>
  <w:num w:numId="55">
    <w:abstractNumId w:val="94"/>
  </w:num>
  <w:num w:numId="56">
    <w:abstractNumId w:val="7"/>
  </w:num>
  <w:num w:numId="57">
    <w:abstractNumId w:val="67"/>
  </w:num>
  <w:num w:numId="58">
    <w:abstractNumId w:val="47"/>
  </w:num>
  <w:num w:numId="59">
    <w:abstractNumId w:val="39"/>
  </w:num>
  <w:num w:numId="60">
    <w:abstractNumId w:val="70"/>
  </w:num>
  <w:num w:numId="61">
    <w:abstractNumId w:val="68"/>
  </w:num>
  <w:num w:numId="62">
    <w:abstractNumId w:val="77"/>
  </w:num>
  <w:num w:numId="63">
    <w:abstractNumId w:val="14"/>
  </w:num>
  <w:num w:numId="64">
    <w:abstractNumId w:val="20"/>
  </w:num>
  <w:num w:numId="65">
    <w:abstractNumId w:val="92"/>
  </w:num>
  <w:num w:numId="66">
    <w:abstractNumId w:val="63"/>
  </w:num>
  <w:num w:numId="67">
    <w:abstractNumId w:val="83"/>
  </w:num>
  <w:num w:numId="68">
    <w:abstractNumId w:val="114"/>
  </w:num>
  <w:num w:numId="69">
    <w:abstractNumId w:val="54"/>
  </w:num>
  <w:num w:numId="70">
    <w:abstractNumId w:val="5"/>
  </w:num>
  <w:num w:numId="71">
    <w:abstractNumId w:val="116"/>
  </w:num>
  <w:num w:numId="72">
    <w:abstractNumId w:val="21"/>
  </w:num>
  <w:num w:numId="73">
    <w:abstractNumId w:val="24"/>
  </w:num>
  <w:num w:numId="74">
    <w:abstractNumId w:val="59"/>
  </w:num>
  <w:num w:numId="75">
    <w:abstractNumId w:val="42"/>
  </w:num>
  <w:num w:numId="76">
    <w:abstractNumId w:val="103"/>
  </w:num>
  <w:num w:numId="77">
    <w:abstractNumId w:val="40"/>
  </w:num>
  <w:num w:numId="78">
    <w:abstractNumId w:val="2"/>
  </w:num>
  <w:num w:numId="79">
    <w:abstractNumId w:val="28"/>
  </w:num>
  <w:num w:numId="80">
    <w:abstractNumId w:val="87"/>
  </w:num>
  <w:num w:numId="81">
    <w:abstractNumId w:val="34"/>
  </w:num>
  <w:num w:numId="82">
    <w:abstractNumId w:val="93"/>
  </w:num>
  <w:num w:numId="83">
    <w:abstractNumId w:val="111"/>
  </w:num>
  <w:num w:numId="84">
    <w:abstractNumId w:val="102"/>
  </w:num>
  <w:num w:numId="85">
    <w:abstractNumId w:val="18"/>
  </w:num>
  <w:num w:numId="86">
    <w:abstractNumId w:val="85"/>
  </w:num>
  <w:num w:numId="87">
    <w:abstractNumId w:val="45"/>
  </w:num>
  <w:num w:numId="88">
    <w:abstractNumId w:val="10"/>
  </w:num>
  <w:num w:numId="89">
    <w:abstractNumId w:val="46"/>
  </w:num>
  <w:num w:numId="90">
    <w:abstractNumId w:val="95"/>
  </w:num>
  <w:num w:numId="91">
    <w:abstractNumId w:val="9"/>
  </w:num>
  <w:num w:numId="92">
    <w:abstractNumId w:val="37"/>
  </w:num>
  <w:num w:numId="93">
    <w:abstractNumId w:val="31"/>
  </w:num>
  <w:num w:numId="94">
    <w:abstractNumId w:val="106"/>
  </w:num>
  <w:num w:numId="95">
    <w:abstractNumId w:val="44"/>
  </w:num>
  <w:num w:numId="96">
    <w:abstractNumId w:val="27"/>
  </w:num>
  <w:num w:numId="97">
    <w:abstractNumId w:val="19"/>
  </w:num>
  <w:num w:numId="98">
    <w:abstractNumId w:val="58"/>
  </w:num>
  <w:num w:numId="99">
    <w:abstractNumId w:val="29"/>
  </w:num>
  <w:num w:numId="100">
    <w:abstractNumId w:val="13"/>
  </w:num>
  <w:num w:numId="101">
    <w:abstractNumId w:val="79"/>
  </w:num>
  <w:num w:numId="102">
    <w:abstractNumId w:val="109"/>
  </w:num>
  <w:num w:numId="103">
    <w:abstractNumId w:val="75"/>
  </w:num>
  <w:num w:numId="104">
    <w:abstractNumId w:val="99"/>
  </w:num>
  <w:num w:numId="105">
    <w:abstractNumId w:val="3"/>
  </w:num>
  <w:num w:numId="106">
    <w:abstractNumId w:val="100"/>
  </w:num>
  <w:num w:numId="107">
    <w:abstractNumId w:val="35"/>
  </w:num>
  <w:num w:numId="108">
    <w:abstractNumId w:val="22"/>
  </w:num>
  <w:num w:numId="109">
    <w:abstractNumId w:val="120"/>
  </w:num>
  <w:num w:numId="110">
    <w:abstractNumId w:val="38"/>
  </w:num>
  <w:num w:numId="111">
    <w:abstractNumId w:val="26"/>
  </w:num>
  <w:num w:numId="112">
    <w:abstractNumId w:val="49"/>
  </w:num>
  <w:num w:numId="113">
    <w:abstractNumId w:val="57"/>
  </w:num>
  <w:num w:numId="114">
    <w:abstractNumId w:val="12"/>
  </w:num>
  <w:num w:numId="115">
    <w:abstractNumId w:val="113"/>
  </w:num>
  <w:num w:numId="116">
    <w:abstractNumId w:val="43"/>
  </w:num>
  <w:num w:numId="117">
    <w:abstractNumId w:val="81"/>
  </w:num>
  <w:num w:numId="118">
    <w:abstractNumId w:val="84"/>
  </w:num>
  <w:num w:numId="119">
    <w:abstractNumId w:val="41"/>
  </w:num>
  <w:num w:numId="120">
    <w:abstractNumId w:val="121"/>
  </w:num>
  <w:num w:numId="121">
    <w:abstractNumId w:val="78"/>
  </w:num>
  <w:num w:numId="122">
    <w:abstractNumId w:val="100"/>
    <w:lvlOverride w:ilvl="0">
      <w:startOverride w:val="1"/>
    </w:lvlOverride>
  </w:num>
  <w:num w:numId="123">
    <w:abstractNumId w:val="53"/>
  </w:num>
  <w:num w:numId="124">
    <w:abstractNumId w:val="8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23F52"/>
    <w:rsid w:val="00075492"/>
    <w:rsid w:val="0009317A"/>
    <w:rsid w:val="00147905"/>
    <w:rsid w:val="001B6CB0"/>
    <w:rsid w:val="002972DA"/>
    <w:rsid w:val="0031357D"/>
    <w:rsid w:val="00323F52"/>
    <w:rsid w:val="003C333F"/>
    <w:rsid w:val="003E1583"/>
    <w:rsid w:val="004C43E9"/>
    <w:rsid w:val="00534B6E"/>
    <w:rsid w:val="0054446B"/>
    <w:rsid w:val="00554983"/>
    <w:rsid w:val="005F27D9"/>
    <w:rsid w:val="006102A3"/>
    <w:rsid w:val="006A6B9D"/>
    <w:rsid w:val="006D7DE7"/>
    <w:rsid w:val="00766D7F"/>
    <w:rsid w:val="00856A06"/>
    <w:rsid w:val="00862B95"/>
    <w:rsid w:val="00871FB1"/>
    <w:rsid w:val="00956732"/>
    <w:rsid w:val="00B167D0"/>
    <w:rsid w:val="00B6364A"/>
    <w:rsid w:val="00B64454"/>
    <w:rsid w:val="00B828DF"/>
    <w:rsid w:val="00C10FBB"/>
    <w:rsid w:val="00C65D81"/>
    <w:rsid w:val="00CB6006"/>
    <w:rsid w:val="00CE2D9F"/>
    <w:rsid w:val="00D40D14"/>
    <w:rsid w:val="00F31D44"/>
    <w:rsid w:val="00FC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80"/>
    </w:pPr>
    <w:rPr>
      <w:rFonts w:ascii="Arial, sans-serif" w:hAnsi="Arial, sans-serif" w:cs="Arial, sans-serif"/>
    </w:rPr>
  </w:style>
  <w:style w:type="paragraph" w:styleId="Heading1">
    <w:name w:val="heading 1"/>
    <w:basedOn w:val="Normal"/>
    <w:next w:val="Normal"/>
    <w:pPr>
      <w:keepNext/>
      <w:pageBreakBefore/>
      <w:numPr>
        <w:numId w:val="1"/>
      </w:numPr>
      <w:pBdr>
        <w:top w:val="single" w:sz="4" w:space="6" w:color="808080"/>
      </w:pBdr>
      <w:suppressAutoHyphens/>
      <w:spacing w:before="480" w:after="120"/>
      <w:outlineLvl w:val="0"/>
    </w:pPr>
    <w:rPr>
      <w:b/>
      <w:bCs/>
      <w:color w:val="3B006F"/>
      <w:kern w:val="3"/>
      <w:sz w:val="36"/>
      <w:szCs w:val="36"/>
    </w:rPr>
  </w:style>
  <w:style w:type="paragraph" w:styleId="Heading2">
    <w:name w:val="heading 2"/>
    <w:basedOn w:val="Heading1"/>
    <w:next w:val="Normal"/>
    <w:pPr>
      <w:pageBreakBefore w:val="0"/>
      <w:numPr>
        <w:ilvl w:val="1"/>
      </w:numPr>
      <w:pBdr>
        <w:top w:val="none" w:sz="0" w:space="0" w:color="auto"/>
      </w:pBdr>
      <w:spacing w:before="240" w:after="0"/>
      <w:outlineLvl w:val="1"/>
    </w:pPr>
    <w:rPr>
      <w:bCs w:val="0"/>
      <w:iCs/>
      <w:sz w:val="28"/>
      <w:szCs w:val="28"/>
    </w:rPr>
  </w:style>
  <w:style w:type="paragraph" w:styleId="Heading3">
    <w:name w:val="heading 3"/>
    <w:basedOn w:val="Heading2"/>
    <w:next w:val="Normal"/>
    <w:pPr>
      <w:numPr>
        <w:ilvl w:val="2"/>
      </w:numPr>
      <w:outlineLvl w:val="2"/>
    </w:pPr>
    <w:rPr>
      <w:bCs/>
      <w:sz w:val="26"/>
      <w:szCs w:val="26"/>
    </w:rPr>
  </w:style>
  <w:style w:type="paragraph" w:styleId="Heading4">
    <w:name w:val="heading 4"/>
    <w:basedOn w:val="Heading3"/>
    <w:next w:val="Normal"/>
    <w:pPr>
      <w:numPr>
        <w:ilvl w:val="3"/>
      </w:numPr>
      <w:outlineLvl w:val="3"/>
    </w:pPr>
    <w:rPr>
      <w:bCs w:val="0"/>
      <w:sz w:val="24"/>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 w:val="22"/>
      <w:szCs w:val="22"/>
    </w:r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sans-serif" w:eastAsia="MS Mincho" w:hAnsi="Arial, sans-serif" w:cs="Tahoma"/>
      <w:sz w:val="28"/>
      <w:szCs w:val="28"/>
    </w:rPr>
  </w:style>
  <w:style w:type="paragraph" w:customStyle="1" w:styleId="Textbody">
    <w:name w:val="Text body"/>
    <w:basedOn w:val="Standard"/>
    <w:pPr>
      <w:suppressLineNumbers/>
      <w:spacing w:after="120"/>
    </w:pPr>
  </w:style>
  <w:style w:type="paragraph" w:styleId="Title">
    <w:name w:val="Title"/>
    <w:basedOn w:val="Normal"/>
    <w:pPr>
      <w:suppressLineNumbers/>
      <w:pBdr>
        <w:top w:val="single" w:sz="4" w:space="1" w:color="808080"/>
      </w:pBdr>
      <w:suppressAutoHyphens/>
      <w:spacing w:after="240"/>
    </w:pPr>
    <w:rPr>
      <w:b/>
      <w:bCs/>
      <w:color w:val="3B006F"/>
      <w:kern w:val="3"/>
      <w:sz w:val="48"/>
      <w:szCs w:val="48"/>
    </w:rPr>
  </w:style>
  <w:style w:type="paragraph" w:styleId="Subtitle">
    <w:name w:val="Subtitle"/>
    <w:basedOn w:val="Title"/>
    <w:rPr>
      <w:sz w:val="36"/>
      <w:szCs w:val="36"/>
    </w:rPr>
  </w:style>
  <w:style w:type="paragraph" w:customStyle="1" w:styleId="Titlepageinfo">
    <w:name w:val="Title page info"/>
    <w:basedOn w:val="Normal"/>
    <w:next w:val="Titlepageinfodescription"/>
    <w:pPr>
      <w:keepNext/>
      <w:suppressLineNumbers/>
      <w:suppressAutoHyphens/>
      <w:spacing w:before="86" w:after="0"/>
    </w:pPr>
    <w:rPr>
      <w:b/>
      <w:color w:val="3B006F"/>
    </w:rPr>
  </w:style>
  <w:style w:type="paragraph" w:customStyle="1" w:styleId="Titlepageinfodescription">
    <w:name w:val="Title page info description"/>
    <w:basedOn w:val="Titlepageinfo"/>
    <w:next w:val="Titlepageinfo"/>
    <w:pPr>
      <w:keepNext w:val="0"/>
      <w:spacing w:before="0"/>
      <w:ind w:left="720"/>
    </w:pPr>
    <w:rPr>
      <w:b w:val="0"/>
      <w:color w:val="auto"/>
    </w:rPr>
  </w:style>
  <w:style w:type="paragraph" w:customStyle="1" w:styleId="Contributor">
    <w:name w:val="Contributor"/>
    <w:basedOn w:val="Titlepageinfodescription"/>
  </w:style>
  <w:style w:type="paragraph" w:customStyle="1" w:styleId="Legalnotice">
    <w:name w:val="Legal notice"/>
    <w:basedOn w:val="Titlepageinfodescription"/>
    <w:pPr>
      <w:spacing w:before="240"/>
      <w:ind w:left="0"/>
    </w:pPr>
  </w:style>
  <w:style w:type="paragraph" w:styleId="TOC1">
    <w:name w:val="toc 1"/>
    <w:basedOn w:val="Normal"/>
    <w:next w:val="Normal"/>
    <w:autoRedefine/>
    <w:pPr>
      <w:suppressLineNumbers/>
      <w:suppressAutoHyphens/>
      <w:spacing w:before="60" w:after="60"/>
    </w:pPr>
  </w:style>
  <w:style w:type="paragraph" w:styleId="TOC2">
    <w:name w:val="toc 2"/>
    <w:basedOn w:val="Normal"/>
    <w:next w:val="Normal"/>
    <w:autoRedefine/>
    <w:pPr>
      <w:suppressLineNumbers/>
      <w:suppressAutoHyphens/>
      <w:spacing w:before="60" w:after="60"/>
      <w:ind w:left="240"/>
    </w:pPr>
  </w:style>
  <w:style w:type="paragraph" w:styleId="TOC3">
    <w:name w:val="toc 3"/>
    <w:basedOn w:val="Normal"/>
    <w:next w:val="Normal"/>
    <w:autoRedefine/>
    <w:pPr>
      <w:suppressLineNumbers/>
      <w:suppressAutoHyphens/>
      <w:spacing w:before="60" w:after="60"/>
      <w:ind w:left="480"/>
    </w:pPr>
  </w:style>
  <w:style w:type="paragraph" w:customStyle="1" w:styleId="Code">
    <w:name w:val="Code"/>
    <w:basedOn w:val="Normal"/>
    <w:pPr>
      <w:keepLines/>
      <w:pBdr>
        <w:top w:val="single" w:sz="4" w:space="3" w:color="000000"/>
        <w:bottom w:val="single" w:sz="4" w:space="3" w:color="000000"/>
      </w:pBdr>
      <w:shd w:val="clear" w:color="auto" w:fill="D9D9D9"/>
      <w:suppressAutoHyphens/>
      <w:spacing w:after="0"/>
      <w:ind w:left="432" w:right="432"/>
    </w:pPr>
    <w:rPr>
      <w:rFonts w:ascii="Courier New" w:hAnsi="Courier New"/>
      <w:sz w:val="18"/>
    </w:rPr>
  </w:style>
  <w:style w:type="paragraph" w:customStyle="1" w:styleId="AppendixHeading2">
    <w:name w:val="AppendixHeading2"/>
    <w:basedOn w:val="Heading2"/>
    <w:next w:val="Normal"/>
    <w:pPr>
      <w:numPr>
        <w:ilvl w:val="0"/>
        <w:numId w:val="0"/>
      </w:numPr>
    </w:pPr>
  </w:style>
  <w:style w:type="paragraph" w:styleId="NormalWeb">
    <w:name w:val="Normal (Web)"/>
    <w:basedOn w:val="Normal"/>
    <w:pPr>
      <w:suppressAutoHyphens/>
      <w:spacing w:before="100" w:after="10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Arial Unicode MS" w:eastAsia="Arial Unicode MS" w:hAnsi="Arial Unicode MS" w:cs="Arial Unicode MS"/>
    </w:rPr>
  </w:style>
  <w:style w:type="paragraph" w:styleId="NoteHeading">
    <w:name w:val="Note Heading"/>
    <w:basedOn w:val="Normal"/>
    <w:next w:val="Normal"/>
    <w:pPr>
      <w:suppressAutoHyphens/>
    </w:pPr>
  </w:style>
  <w:style w:type="paragraph" w:customStyle="1" w:styleId="Note">
    <w:name w:val="Note"/>
    <w:basedOn w:val="Normal"/>
    <w:next w:val="Normal"/>
    <w:pPr>
      <w:suppressAutoHyphens/>
      <w:spacing w:before="120" w:after="120"/>
      <w:ind w:left="720" w:right="720"/>
    </w:pPr>
  </w:style>
  <w:style w:type="paragraph" w:customStyle="1" w:styleId="Definitionterm">
    <w:name w:val="Definition term"/>
    <w:basedOn w:val="Normal"/>
    <w:next w:val="Definition"/>
    <w:pPr>
      <w:suppressAutoHyphens/>
      <w:ind w:right="2880"/>
    </w:pPr>
    <w:rPr>
      <w:rFonts w:eastAsia="Arial Unicode MS"/>
      <w:b/>
    </w:rPr>
  </w:style>
  <w:style w:type="paragraph" w:customStyle="1" w:styleId="Definition">
    <w:name w:val="Definition"/>
    <w:basedOn w:val="Normal"/>
    <w:next w:val="Definitionterm"/>
    <w:pPr>
      <w:suppressAutoHyphens/>
      <w:spacing w:after="120"/>
      <w:ind w:left="720"/>
    </w:pPr>
    <w:rPr>
      <w:rFonts w:eastAsia="Arial Unicode MS"/>
    </w:rPr>
  </w:style>
  <w:style w:type="paragraph" w:customStyle="1" w:styleId="Ref">
    <w:name w:val="Ref"/>
    <w:basedOn w:val="Normal"/>
    <w:autoRedefine/>
    <w:pPr>
      <w:suppressAutoHyphens/>
      <w:spacing w:before="40" w:after="40"/>
      <w:ind w:left="1800" w:hanging="1455"/>
    </w:pPr>
    <w:rPr>
      <w:bCs/>
      <w:color w:val="000000"/>
    </w:rPr>
  </w:style>
  <w:style w:type="paragraph" w:styleId="Header">
    <w:name w:val="header"/>
    <w:basedOn w:val="Normal"/>
    <w:pPr>
      <w:suppressLineNumbers/>
      <w:tabs>
        <w:tab w:val="center" w:pos="4320"/>
        <w:tab w:val="right" w:pos="8640"/>
      </w:tabs>
      <w:suppressAutoHyphens/>
    </w:pPr>
  </w:style>
  <w:style w:type="paragraph" w:styleId="Footer">
    <w:name w:val="footer"/>
    <w:basedOn w:val="Normal"/>
    <w:pPr>
      <w:suppressLineNumbers/>
      <w:tabs>
        <w:tab w:val="center" w:pos="4320"/>
        <w:tab w:val="right" w:pos="8640"/>
      </w:tabs>
      <w:suppressAutoHyphens/>
    </w:pPr>
  </w:style>
  <w:style w:type="paragraph" w:customStyle="1" w:styleId="AppendixHeading1">
    <w:name w:val="AppendixHeading1"/>
    <w:basedOn w:val="Heading1"/>
    <w:next w:val="Normal"/>
    <w:pPr>
      <w:numPr>
        <w:numId w:val="0"/>
      </w:numPr>
      <w:spacing w:before="100" w:after="100"/>
    </w:pPr>
  </w:style>
  <w:style w:type="paragraph" w:styleId="TOC7">
    <w:name w:val="toc 7"/>
    <w:basedOn w:val="Normal"/>
    <w:next w:val="Normal"/>
    <w:autoRedefine/>
    <w:pPr>
      <w:suppressAutoHyphens/>
      <w:spacing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suppressAutoHyphens/>
    </w:pPr>
  </w:style>
  <w:style w:type="paragraph" w:styleId="TOC4">
    <w:name w:val="toc 4"/>
    <w:basedOn w:val="TOC3"/>
    <w:next w:val="Normal"/>
    <w:autoRedefine/>
    <w:pPr>
      <w:ind w:left="720"/>
    </w:pPr>
    <w:rPr>
      <w:sz w:val="18"/>
    </w:rPr>
  </w:style>
  <w:style w:type="paragraph" w:styleId="TOC5">
    <w:name w:val="toc 5"/>
    <w:basedOn w:val="TOC4"/>
    <w:next w:val="Normal"/>
    <w:autoRedefine/>
    <w:pPr>
      <w:ind w:left="960"/>
    </w:pPr>
  </w:style>
  <w:style w:type="paragraph" w:styleId="TOC6">
    <w:name w:val="toc 6"/>
    <w:basedOn w:val="Normal"/>
    <w:next w:val="Normal"/>
    <w:autoRedefine/>
    <w:pPr>
      <w:suppressAutoHyphens/>
      <w:ind w:left="1200"/>
    </w:pPr>
    <w:rPr>
      <w:sz w:val="18"/>
    </w:rPr>
  </w:style>
  <w:style w:type="paragraph" w:styleId="Caption">
    <w:name w:val="caption"/>
    <w:basedOn w:val="Normal"/>
    <w:next w:val="Normal"/>
    <w:autoRedefine/>
    <w:pPr>
      <w:suppressAutoHyphens/>
      <w:spacing w:before="120" w:after="120"/>
    </w:pPr>
    <w:rPr>
      <w:bCs/>
      <w:i/>
      <w:sz w:val="24"/>
    </w:rPr>
  </w:style>
  <w:style w:type="paragraph" w:styleId="ListBullet2">
    <w:name w:val="List Bullet 2"/>
    <w:basedOn w:val="Normal"/>
    <w:pPr>
      <w:numPr>
        <w:numId w:val="4"/>
      </w:numPr>
      <w:suppressAutoHyphens/>
    </w:pPr>
  </w:style>
  <w:style w:type="paragraph" w:customStyle="1" w:styleId="RelatedWork">
    <w:name w:val="Related Work"/>
    <w:basedOn w:val="Titlepageinfodescription"/>
    <w:pPr>
      <w:numPr>
        <w:numId w:val="5"/>
      </w:numPr>
    </w:pPr>
  </w:style>
  <w:style w:type="paragraph" w:customStyle="1" w:styleId="Abstract">
    <w:name w:val="Abstract"/>
    <w:basedOn w:val="Titlepageinfodescription"/>
  </w:style>
  <w:style w:type="paragraph" w:customStyle="1" w:styleId="Notices">
    <w:name w:val="Notices"/>
    <w:basedOn w:val="Subtitle"/>
    <w:next w:val="TextBody0"/>
    <w:pPr>
      <w:pageBreakBefore/>
    </w:pPr>
  </w:style>
  <w:style w:type="paragraph" w:customStyle="1" w:styleId="TextBody0">
    <w:name w:val="Text Body"/>
    <w:basedOn w:val="Abstract"/>
    <w:pPr>
      <w:ind w:left="0"/>
    </w:pPr>
  </w:style>
  <w:style w:type="paragraph" w:customStyle="1" w:styleId="AppendixHeading3">
    <w:name w:val="AppendixHeading3"/>
    <w:basedOn w:val="AppendixHeading2"/>
    <w:next w:val="Normal"/>
    <w:pPr>
      <w:numPr>
        <w:numId w:val="106"/>
      </w:numPr>
      <w:outlineLvl w:val="2"/>
    </w:pPr>
  </w:style>
  <w:style w:type="paragraph" w:styleId="List">
    <w:name w:val="List"/>
    <w:basedOn w:val="Textbody"/>
    <w:rPr>
      <w:sz w:val="24"/>
    </w:rPr>
  </w:style>
  <w:style w:type="paragraph" w:customStyle="1" w:styleId="Index">
    <w:name w:val="Index"/>
    <w:basedOn w:val="Standard"/>
    <w:pPr>
      <w:suppressLineNumbers/>
    </w:pPr>
    <w:rPr>
      <w:sz w:val="24"/>
    </w:rPr>
  </w:style>
  <w:style w:type="paragraph" w:customStyle="1" w:styleId="TableContents">
    <w:name w:val="Table Contents"/>
    <w:basedOn w:val="Standard"/>
    <w:pPr>
      <w:suppressLineNumbers/>
    </w:pPr>
  </w:style>
  <w:style w:type="paragraph" w:customStyle="1" w:styleId="Contents4">
    <w:name w:val="Contents 4"/>
    <w:basedOn w:val="Index"/>
    <w:pPr>
      <w:tabs>
        <w:tab w:val="right" w:leader="dot" w:pos="9972"/>
      </w:tabs>
      <w:ind w:left="849"/>
    </w:pPr>
    <w:rPr>
      <w:sz w:val="20"/>
    </w:rPr>
  </w:style>
  <w:style w:type="paragraph" w:customStyle="1" w:styleId="Contents5">
    <w:name w:val="Contents 5"/>
    <w:basedOn w:val="Index"/>
    <w:pPr>
      <w:tabs>
        <w:tab w:val="right" w:leader="dot" w:pos="9972"/>
      </w:tabs>
      <w:ind w:left="1132"/>
    </w:pPr>
    <w:rPr>
      <w:sz w:val="20"/>
    </w:rPr>
  </w:style>
  <w:style w:type="paragraph" w:customStyle="1" w:styleId="Contents6">
    <w:name w:val="Contents 6"/>
    <w:basedOn w:val="Index"/>
    <w:pPr>
      <w:tabs>
        <w:tab w:val="right" w:leader="dot" w:pos="9972"/>
      </w:tabs>
      <w:ind w:left="1415"/>
    </w:pPr>
    <w:rPr>
      <w:sz w:val="20"/>
    </w:rPr>
  </w:style>
  <w:style w:type="paragraph" w:customStyle="1" w:styleId="Contents7">
    <w:name w:val="Contents 7"/>
    <w:basedOn w:val="Index"/>
    <w:pPr>
      <w:tabs>
        <w:tab w:val="right" w:leader="dot" w:pos="9972"/>
      </w:tabs>
      <w:ind w:left="1698"/>
    </w:pPr>
    <w:rPr>
      <w:sz w:val="20"/>
    </w:rPr>
  </w:style>
  <w:style w:type="paragraph" w:customStyle="1" w:styleId="Contents8">
    <w:name w:val="Contents 8"/>
    <w:basedOn w:val="Index"/>
    <w:pPr>
      <w:tabs>
        <w:tab w:val="right" w:leader="dot" w:pos="9972"/>
      </w:tabs>
      <w:ind w:left="1981"/>
    </w:pPr>
    <w:rPr>
      <w:sz w:val="20"/>
    </w:rPr>
  </w:style>
  <w:style w:type="paragraph" w:customStyle="1" w:styleId="Contents9">
    <w:name w:val="Contents 9"/>
    <w:basedOn w:val="Index"/>
    <w:pPr>
      <w:tabs>
        <w:tab w:val="right" w:leader="dot" w:pos="9972"/>
      </w:tabs>
      <w:ind w:left="2264"/>
    </w:pPr>
    <w:rPr>
      <w:sz w:val="20"/>
    </w:rPr>
  </w:style>
  <w:style w:type="paragraph" w:customStyle="1" w:styleId="TableHeading">
    <w:name w:val="Table Heading"/>
    <w:basedOn w:val="TableContents"/>
    <w:pPr>
      <w:jc w:val="center"/>
    </w:pPr>
    <w:rPr>
      <w:b/>
      <w:bCs/>
      <w:i/>
      <w:iCs/>
      <w:sz w:val="18"/>
    </w:rPr>
  </w:style>
  <w:style w:type="paragraph" w:customStyle="1" w:styleId="refterm">
    <w:name w:val="refterm"/>
    <w:basedOn w:val="Standard"/>
    <w:pPr>
      <w:spacing w:before="101"/>
    </w:pPr>
    <w:rPr>
      <w:rFonts w:ascii="Arial, sans-serif" w:hAnsi="Arial, sans-serif" w:cs="Arial, sans-serif"/>
      <w:b/>
      <w:bCs/>
    </w:rPr>
  </w:style>
  <w:style w:type="paragraph" w:customStyle="1" w:styleId="ref0">
    <w:name w:val="ref"/>
    <w:basedOn w:val="Standard"/>
    <w:pPr>
      <w:spacing w:after="101"/>
      <w:ind w:left="1875"/>
    </w:pPr>
    <w:rPr>
      <w:rFonts w:ascii="Arial, sans-serif" w:hAnsi="Arial, sans-serif" w:cs="Arial, sans-serif"/>
    </w:rPr>
  </w:style>
  <w:style w:type="character" w:customStyle="1" w:styleId="Datatype">
    <w:name w:val="Datatype"/>
    <w:rPr>
      <w:rFonts w:ascii="Courier New" w:hAnsi="Courier New"/>
    </w:rPr>
  </w:style>
  <w:style w:type="character" w:styleId="Hyperlink">
    <w:name w:val="Hyperlink"/>
    <w:rPr>
      <w:color w:val="0000EE"/>
      <w:u w:val="none"/>
    </w:r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character" w:styleId="PageNumber">
    <w:name w:val="page number"/>
    <w:basedOn w:val="DefaultParagraphFont"/>
  </w:style>
  <w:style w:type="character" w:customStyle="1" w:styleId="Refterm0">
    <w:name w:val="Ref term"/>
    <w:rPr>
      <w:b/>
    </w:rPr>
  </w:style>
  <w:style w:type="character" w:styleId="LineNumber">
    <w:name w:val="line number"/>
    <w:basedOn w:val="DefaultParagraphFont"/>
  </w:style>
  <w:style w:type="character" w:customStyle="1" w:styleId="CODEtemp">
    <w:name w:val="CODE temp"/>
    <w:rPr>
      <w:rFonts w:ascii="Courier New" w:hAnsi="Courier New"/>
      <w:sz w:val="20"/>
    </w:rPr>
  </w:style>
  <w:style w:type="character" w:customStyle="1" w:styleId="Variable">
    <w:name w:val="Variable"/>
    <w:rPr>
      <w:i/>
    </w:rPr>
  </w:style>
  <w:style w:type="paragraph" w:styleId="BalloonText">
    <w:name w:val="Balloon Text"/>
    <w:basedOn w:val="Normal"/>
    <w:link w:val="BalloonTextChar"/>
    <w:uiPriority w:val="99"/>
    <w:semiHidden/>
    <w:unhideWhenUsed/>
    <w:rsid w:val="003135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7D"/>
    <w:rPr>
      <w:rFonts w:ascii="Tahoma" w:hAnsi="Tahoma" w:cs="Tahoma"/>
      <w:sz w:val="16"/>
      <w:szCs w:val="16"/>
    </w:rPr>
  </w:style>
  <w:style w:type="paragraph" w:styleId="ListParagraph">
    <w:name w:val="List Paragraph"/>
    <w:basedOn w:val="Normal"/>
    <w:uiPriority w:val="34"/>
    <w:qFormat/>
    <w:rsid w:val="00CB6006"/>
    <w:pPr>
      <w:ind w:left="720"/>
      <w:contextualSpacing/>
    </w:pPr>
  </w:style>
  <w:style w:type="character" w:customStyle="1" w:styleId="Internetlink">
    <w:name w:val="Internet link"/>
    <w:rPr>
      <w:rFonts w:ascii="Arial, sans-serif" w:hAnsi="Arial, sans-serif"/>
      <w:color w:val="0000FF"/>
      <w:u w:val="none"/>
      <w:shd w:val="clear" w:color="auto" w:fill="auto"/>
    </w:rPr>
  </w:style>
  <w:style w:type="character" w:customStyle="1" w:styleId="BulletSymbols">
    <w:name w:val="Bullet Symbols"/>
    <w:rPr>
      <w:rFonts w:ascii="OpenSymbol" w:eastAsia="OpenSymbol" w:hAnsi="OpenSymbol" w:cs="OpenSymbol"/>
    </w:rPr>
  </w:style>
  <w:style w:type="character" w:customStyle="1" w:styleId="Rubies">
    <w:name w:val="Rubies"/>
    <w:rPr>
      <w:sz w:val="12"/>
      <w:szCs w:val="12"/>
      <w:u w:val="none"/>
      <w:em w:val="none"/>
    </w:rPr>
  </w:style>
  <w:style w:type="character" w:customStyle="1" w:styleId="NumberingSymbols">
    <w:name w:val="Numbering Symbols"/>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10z0">
    <w:name w:val="WW8Num10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4z0">
    <w:name w:val="WW8Num44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70z1">
    <w:name w:val="WW8Num70z1"/>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1z0">
    <w:name w:val="WW8Num81z0"/>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7z0">
    <w:name w:val="WW8Num87z0"/>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VisitedInternetLink">
    <w:name w:val="Visited Internet Link"/>
    <w:rPr>
      <w:color w:val="800000"/>
      <w:u w:val="single"/>
    </w:rPr>
  </w:style>
  <w:style w:type="numbering" w:customStyle="1" w:styleId="List1">
    <w:name w:val="List 1"/>
    <w:basedOn w:val="NoList"/>
    <w:pPr>
      <w:numPr>
        <w:numId w:val="2"/>
      </w:numPr>
    </w:pPr>
  </w:style>
  <w:style w:type="numbering" w:customStyle="1" w:styleId="LFO8">
    <w:name w:val="LFO8"/>
    <w:basedOn w:val="NoList"/>
    <w:pPr>
      <w:numPr>
        <w:numId w:val="3"/>
      </w:numPr>
    </w:pPr>
  </w:style>
  <w:style w:type="numbering" w:customStyle="1" w:styleId="LFO30">
    <w:name w:val="LFO30"/>
    <w:basedOn w:val="NoList"/>
    <w:pPr>
      <w:numPr>
        <w:numId w:val="4"/>
      </w:numPr>
    </w:pPr>
  </w:style>
  <w:style w:type="numbering" w:customStyle="1" w:styleId="BulletRelatedWork">
    <w:name w:val="BulletRelatedWork"/>
    <w:basedOn w:val="NoList"/>
    <w:pPr>
      <w:numPr>
        <w:numId w:val="5"/>
      </w:numPr>
    </w:pPr>
  </w:style>
  <w:style w:type="numbering" w:customStyle="1" w:styleId="LFO33">
    <w:name w:val="LFO33"/>
    <w:basedOn w:val="NoList"/>
    <w:pPr>
      <w:numPr>
        <w:numId w:val="6"/>
      </w:numPr>
    </w:pPr>
  </w:style>
  <w:style w:type="numbering" w:customStyle="1" w:styleId="WW8Num1">
    <w:name w:val="WW8Num1"/>
    <w:basedOn w:val="NoList"/>
    <w:pPr>
      <w:numPr>
        <w:numId w:val="7"/>
      </w:numPr>
    </w:pPr>
  </w:style>
  <w:style w:type="numbering" w:customStyle="1" w:styleId="WW8Num2">
    <w:name w:val="WW8Num2"/>
    <w:basedOn w:val="NoList"/>
    <w:pPr>
      <w:numPr>
        <w:numId w:val="8"/>
      </w:numPr>
    </w:pPr>
  </w:style>
  <w:style w:type="numbering" w:customStyle="1" w:styleId="WW8Num3">
    <w:name w:val="WW8Num3"/>
    <w:basedOn w:val="NoList"/>
    <w:pPr>
      <w:numPr>
        <w:numId w:val="9"/>
      </w:numPr>
    </w:pPr>
  </w:style>
  <w:style w:type="numbering" w:customStyle="1" w:styleId="WW8Num4">
    <w:name w:val="WW8Num4"/>
    <w:basedOn w:val="NoList"/>
    <w:pPr>
      <w:numPr>
        <w:numId w:val="10"/>
      </w:numPr>
    </w:pPr>
  </w:style>
  <w:style w:type="numbering" w:customStyle="1" w:styleId="WW8Num5">
    <w:name w:val="WW8Num5"/>
    <w:basedOn w:val="NoList"/>
    <w:pPr>
      <w:numPr>
        <w:numId w:val="11"/>
      </w:numPr>
    </w:pPr>
  </w:style>
  <w:style w:type="numbering" w:customStyle="1" w:styleId="WW8Num6">
    <w:name w:val="WW8Num6"/>
    <w:basedOn w:val="NoList"/>
    <w:pPr>
      <w:numPr>
        <w:numId w:val="12"/>
      </w:numPr>
    </w:pPr>
  </w:style>
  <w:style w:type="numbering" w:customStyle="1" w:styleId="WW8Num7">
    <w:name w:val="WW8Num7"/>
    <w:basedOn w:val="NoList"/>
    <w:pPr>
      <w:numPr>
        <w:numId w:val="13"/>
      </w:numPr>
    </w:pPr>
  </w:style>
  <w:style w:type="numbering" w:customStyle="1" w:styleId="WW8Num8">
    <w:name w:val="WW8Num8"/>
    <w:basedOn w:val="NoList"/>
    <w:pPr>
      <w:numPr>
        <w:numId w:val="14"/>
      </w:numPr>
    </w:pPr>
  </w:style>
  <w:style w:type="numbering" w:customStyle="1" w:styleId="WW8Num9">
    <w:name w:val="WW8Num9"/>
    <w:basedOn w:val="NoList"/>
    <w:pPr>
      <w:numPr>
        <w:numId w:val="15"/>
      </w:numPr>
    </w:pPr>
  </w:style>
  <w:style w:type="numbering" w:customStyle="1" w:styleId="WW8Num10">
    <w:name w:val="WW8Num10"/>
    <w:basedOn w:val="NoList"/>
    <w:pPr>
      <w:numPr>
        <w:numId w:val="16"/>
      </w:numPr>
    </w:pPr>
  </w:style>
  <w:style w:type="numbering" w:customStyle="1" w:styleId="WW8Num11">
    <w:name w:val="WW8Num11"/>
    <w:basedOn w:val="NoList"/>
    <w:pPr>
      <w:numPr>
        <w:numId w:val="17"/>
      </w:numPr>
    </w:pPr>
  </w:style>
  <w:style w:type="numbering" w:customStyle="1" w:styleId="WW8Num12">
    <w:name w:val="WW8Num12"/>
    <w:basedOn w:val="NoList"/>
    <w:pPr>
      <w:numPr>
        <w:numId w:val="18"/>
      </w:numPr>
    </w:pPr>
  </w:style>
  <w:style w:type="numbering" w:customStyle="1" w:styleId="WW8Num13">
    <w:name w:val="WW8Num13"/>
    <w:basedOn w:val="NoList"/>
    <w:pPr>
      <w:numPr>
        <w:numId w:val="19"/>
      </w:numPr>
    </w:pPr>
  </w:style>
  <w:style w:type="numbering" w:customStyle="1" w:styleId="WW8Num14">
    <w:name w:val="WW8Num14"/>
    <w:basedOn w:val="NoList"/>
    <w:pPr>
      <w:numPr>
        <w:numId w:val="20"/>
      </w:numPr>
    </w:pPr>
  </w:style>
  <w:style w:type="numbering" w:customStyle="1" w:styleId="WW8Num15">
    <w:name w:val="WW8Num15"/>
    <w:basedOn w:val="NoList"/>
    <w:pPr>
      <w:numPr>
        <w:numId w:val="21"/>
      </w:numPr>
    </w:pPr>
  </w:style>
  <w:style w:type="numbering" w:customStyle="1" w:styleId="WW8Num16">
    <w:name w:val="WW8Num16"/>
    <w:basedOn w:val="NoList"/>
    <w:pPr>
      <w:numPr>
        <w:numId w:val="22"/>
      </w:numPr>
    </w:pPr>
  </w:style>
  <w:style w:type="numbering" w:customStyle="1" w:styleId="WW8Num17">
    <w:name w:val="WW8Num17"/>
    <w:basedOn w:val="NoList"/>
    <w:pPr>
      <w:numPr>
        <w:numId w:val="23"/>
      </w:numPr>
    </w:pPr>
  </w:style>
  <w:style w:type="numbering" w:customStyle="1" w:styleId="WW8Num18">
    <w:name w:val="WW8Num18"/>
    <w:basedOn w:val="NoList"/>
    <w:pPr>
      <w:numPr>
        <w:numId w:val="24"/>
      </w:numPr>
    </w:pPr>
  </w:style>
  <w:style w:type="numbering" w:customStyle="1" w:styleId="WW8Num19">
    <w:name w:val="WW8Num19"/>
    <w:basedOn w:val="NoList"/>
    <w:pPr>
      <w:numPr>
        <w:numId w:val="25"/>
      </w:numPr>
    </w:pPr>
  </w:style>
  <w:style w:type="numbering" w:customStyle="1" w:styleId="WW8Num20">
    <w:name w:val="WW8Num20"/>
    <w:basedOn w:val="NoList"/>
    <w:pPr>
      <w:numPr>
        <w:numId w:val="26"/>
      </w:numPr>
    </w:pPr>
  </w:style>
  <w:style w:type="numbering" w:customStyle="1" w:styleId="WW8Num21">
    <w:name w:val="WW8Num21"/>
    <w:basedOn w:val="NoList"/>
    <w:pPr>
      <w:numPr>
        <w:numId w:val="27"/>
      </w:numPr>
    </w:pPr>
  </w:style>
  <w:style w:type="numbering" w:customStyle="1" w:styleId="WW8Num22">
    <w:name w:val="WW8Num22"/>
    <w:basedOn w:val="NoList"/>
    <w:pPr>
      <w:numPr>
        <w:numId w:val="28"/>
      </w:numPr>
    </w:pPr>
  </w:style>
  <w:style w:type="numbering" w:customStyle="1" w:styleId="WW8Num23">
    <w:name w:val="WW8Num23"/>
    <w:basedOn w:val="NoList"/>
    <w:pPr>
      <w:numPr>
        <w:numId w:val="29"/>
      </w:numPr>
    </w:pPr>
  </w:style>
  <w:style w:type="numbering" w:customStyle="1" w:styleId="WW8Num24">
    <w:name w:val="WW8Num24"/>
    <w:basedOn w:val="NoList"/>
    <w:pPr>
      <w:numPr>
        <w:numId w:val="30"/>
      </w:numPr>
    </w:pPr>
  </w:style>
  <w:style w:type="numbering" w:customStyle="1" w:styleId="WW8Num25">
    <w:name w:val="WW8Num25"/>
    <w:basedOn w:val="NoList"/>
    <w:pPr>
      <w:numPr>
        <w:numId w:val="31"/>
      </w:numPr>
    </w:pPr>
  </w:style>
  <w:style w:type="numbering" w:customStyle="1" w:styleId="WW8Num26">
    <w:name w:val="WW8Num26"/>
    <w:basedOn w:val="NoList"/>
    <w:pPr>
      <w:numPr>
        <w:numId w:val="32"/>
      </w:numPr>
    </w:pPr>
  </w:style>
  <w:style w:type="numbering" w:customStyle="1" w:styleId="WW8Num27">
    <w:name w:val="WW8Num27"/>
    <w:basedOn w:val="NoList"/>
    <w:pPr>
      <w:numPr>
        <w:numId w:val="33"/>
      </w:numPr>
    </w:pPr>
  </w:style>
  <w:style w:type="numbering" w:customStyle="1" w:styleId="WW8Num28">
    <w:name w:val="WW8Num28"/>
    <w:basedOn w:val="NoList"/>
    <w:pPr>
      <w:numPr>
        <w:numId w:val="34"/>
      </w:numPr>
    </w:pPr>
  </w:style>
  <w:style w:type="numbering" w:customStyle="1" w:styleId="WW8Num29">
    <w:name w:val="WW8Num29"/>
    <w:basedOn w:val="NoList"/>
    <w:pPr>
      <w:numPr>
        <w:numId w:val="35"/>
      </w:numPr>
    </w:pPr>
  </w:style>
  <w:style w:type="numbering" w:customStyle="1" w:styleId="WW8Num30">
    <w:name w:val="WW8Num30"/>
    <w:basedOn w:val="NoList"/>
    <w:pPr>
      <w:numPr>
        <w:numId w:val="36"/>
      </w:numPr>
    </w:pPr>
  </w:style>
  <w:style w:type="numbering" w:customStyle="1" w:styleId="WW8Num31">
    <w:name w:val="WW8Num31"/>
    <w:basedOn w:val="NoList"/>
    <w:pPr>
      <w:numPr>
        <w:numId w:val="37"/>
      </w:numPr>
    </w:pPr>
  </w:style>
  <w:style w:type="numbering" w:customStyle="1" w:styleId="WW8Num32">
    <w:name w:val="WW8Num32"/>
    <w:basedOn w:val="NoList"/>
    <w:pPr>
      <w:numPr>
        <w:numId w:val="38"/>
      </w:numPr>
    </w:pPr>
  </w:style>
  <w:style w:type="numbering" w:customStyle="1" w:styleId="WW8Num33">
    <w:name w:val="WW8Num33"/>
    <w:basedOn w:val="NoList"/>
    <w:pPr>
      <w:numPr>
        <w:numId w:val="39"/>
      </w:numPr>
    </w:pPr>
  </w:style>
  <w:style w:type="numbering" w:customStyle="1" w:styleId="WW8Num34">
    <w:name w:val="WW8Num34"/>
    <w:basedOn w:val="NoList"/>
    <w:pPr>
      <w:numPr>
        <w:numId w:val="40"/>
      </w:numPr>
    </w:pPr>
  </w:style>
  <w:style w:type="numbering" w:customStyle="1" w:styleId="WW8Num35">
    <w:name w:val="WW8Num35"/>
    <w:basedOn w:val="NoList"/>
    <w:pPr>
      <w:numPr>
        <w:numId w:val="41"/>
      </w:numPr>
    </w:pPr>
  </w:style>
  <w:style w:type="numbering" w:customStyle="1" w:styleId="WW8Num36">
    <w:name w:val="WW8Num36"/>
    <w:basedOn w:val="NoList"/>
    <w:pPr>
      <w:numPr>
        <w:numId w:val="42"/>
      </w:numPr>
    </w:pPr>
  </w:style>
  <w:style w:type="numbering" w:customStyle="1" w:styleId="WW8Num37">
    <w:name w:val="WW8Num37"/>
    <w:basedOn w:val="NoList"/>
    <w:pPr>
      <w:numPr>
        <w:numId w:val="43"/>
      </w:numPr>
    </w:pPr>
  </w:style>
  <w:style w:type="numbering" w:customStyle="1" w:styleId="WW8Num38">
    <w:name w:val="WW8Num38"/>
    <w:basedOn w:val="NoList"/>
    <w:pPr>
      <w:numPr>
        <w:numId w:val="44"/>
      </w:numPr>
    </w:pPr>
  </w:style>
  <w:style w:type="numbering" w:customStyle="1" w:styleId="WW8Num39">
    <w:name w:val="WW8Num39"/>
    <w:basedOn w:val="NoList"/>
    <w:pPr>
      <w:numPr>
        <w:numId w:val="45"/>
      </w:numPr>
    </w:pPr>
  </w:style>
  <w:style w:type="numbering" w:customStyle="1" w:styleId="WW8Num40">
    <w:name w:val="WW8Num40"/>
    <w:basedOn w:val="NoList"/>
    <w:pPr>
      <w:numPr>
        <w:numId w:val="46"/>
      </w:numPr>
    </w:pPr>
  </w:style>
  <w:style w:type="numbering" w:customStyle="1" w:styleId="WW8Num41">
    <w:name w:val="WW8Num41"/>
    <w:basedOn w:val="NoList"/>
    <w:pPr>
      <w:numPr>
        <w:numId w:val="47"/>
      </w:numPr>
    </w:pPr>
  </w:style>
  <w:style w:type="numbering" w:customStyle="1" w:styleId="WW8Num42">
    <w:name w:val="WW8Num42"/>
    <w:basedOn w:val="NoList"/>
    <w:pPr>
      <w:numPr>
        <w:numId w:val="48"/>
      </w:numPr>
    </w:pPr>
  </w:style>
  <w:style w:type="numbering" w:customStyle="1" w:styleId="WW8Num43">
    <w:name w:val="WW8Num43"/>
    <w:basedOn w:val="NoList"/>
    <w:pPr>
      <w:numPr>
        <w:numId w:val="49"/>
      </w:numPr>
    </w:pPr>
  </w:style>
  <w:style w:type="numbering" w:customStyle="1" w:styleId="WW8Num44">
    <w:name w:val="WW8Num44"/>
    <w:basedOn w:val="NoList"/>
    <w:pPr>
      <w:numPr>
        <w:numId w:val="50"/>
      </w:numPr>
    </w:pPr>
  </w:style>
  <w:style w:type="numbering" w:customStyle="1" w:styleId="WW8Num45">
    <w:name w:val="WW8Num45"/>
    <w:basedOn w:val="NoList"/>
    <w:pPr>
      <w:numPr>
        <w:numId w:val="51"/>
      </w:numPr>
    </w:pPr>
  </w:style>
  <w:style w:type="numbering" w:customStyle="1" w:styleId="WW8Num46">
    <w:name w:val="WW8Num46"/>
    <w:basedOn w:val="NoList"/>
    <w:pPr>
      <w:numPr>
        <w:numId w:val="52"/>
      </w:numPr>
    </w:pPr>
  </w:style>
  <w:style w:type="numbering" w:customStyle="1" w:styleId="WW8Num47">
    <w:name w:val="WW8Num47"/>
    <w:basedOn w:val="NoList"/>
    <w:pPr>
      <w:numPr>
        <w:numId w:val="53"/>
      </w:numPr>
    </w:pPr>
  </w:style>
  <w:style w:type="numbering" w:customStyle="1" w:styleId="WW8Num48">
    <w:name w:val="WW8Num48"/>
    <w:basedOn w:val="NoList"/>
    <w:pPr>
      <w:numPr>
        <w:numId w:val="54"/>
      </w:numPr>
    </w:pPr>
  </w:style>
  <w:style w:type="numbering" w:customStyle="1" w:styleId="WW8Num49">
    <w:name w:val="WW8Num49"/>
    <w:basedOn w:val="NoList"/>
    <w:pPr>
      <w:numPr>
        <w:numId w:val="55"/>
      </w:numPr>
    </w:pPr>
  </w:style>
  <w:style w:type="numbering" w:customStyle="1" w:styleId="WW8Num50">
    <w:name w:val="WW8Num50"/>
    <w:basedOn w:val="NoList"/>
    <w:pPr>
      <w:numPr>
        <w:numId w:val="56"/>
      </w:numPr>
    </w:pPr>
  </w:style>
  <w:style w:type="numbering" w:customStyle="1" w:styleId="WW8Num51">
    <w:name w:val="WW8Num51"/>
    <w:basedOn w:val="NoList"/>
    <w:pPr>
      <w:numPr>
        <w:numId w:val="57"/>
      </w:numPr>
    </w:pPr>
  </w:style>
  <w:style w:type="numbering" w:customStyle="1" w:styleId="WW8Num52">
    <w:name w:val="WW8Num52"/>
    <w:basedOn w:val="NoList"/>
    <w:pPr>
      <w:numPr>
        <w:numId w:val="58"/>
      </w:numPr>
    </w:pPr>
  </w:style>
  <w:style w:type="numbering" w:customStyle="1" w:styleId="WW8Num53">
    <w:name w:val="WW8Num53"/>
    <w:basedOn w:val="NoList"/>
    <w:pPr>
      <w:numPr>
        <w:numId w:val="59"/>
      </w:numPr>
    </w:pPr>
  </w:style>
  <w:style w:type="numbering" w:customStyle="1" w:styleId="WW8Num54">
    <w:name w:val="WW8Num54"/>
    <w:basedOn w:val="NoList"/>
    <w:pPr>
      <w:numPr>
        <w:numId w:val="60"/>
      </w:numPr>
    </w:pPr>
  </w:style>
  <w:style w:type="numbering" w:customStyle="1" w:styleId="WW8Num55">
    <w:name w:val="WW8Num55"/>
    <w:basedOn w:val="NoList"/>
    <w:pPr>
      <w:numPr>
        <w:numId w:val="61"/>
      </w:numPr>
    </w:pPr>
  </w:style>
  <w:style w:type="numbering" w:customStyle="1" w:styleId="WW8Num56">
    <w:name w:val="WW8Num56"/>
    <w:basedOn w:val="NoList"/>
    <w:pPr>
      <w:numPr>
        <w:numId w:val="62"/>
      </w:numPr>
    </w:pPr>
  </w:style>
  <w:style w:type="numbering" w:customStyle="1" w:styleId="WW8Num57">
    <w:name w:val="WW8Num57"/>
    <w:basedOn w:val="NoList"/>
    <w:pPr>
      <w:numPr>
        <w:numId w:val="63"/>
      </w:numPr>
    </w:pPr>
  </w:style>
  <w:style w:type="numbering" w:customStyle="1" w:styleId="WW8Num58">
    <w:name w:val="WW8Num58"/>
    <w:basedOn w:val="NoList"/>
    <w:pPr>
      <w:numPr>
        <w:numId w:val="64"/>
      </w:numPr>
    </w:pPr>
  </w:style>
  <w:style w:type="numbering" w:customStyle="1" w:styleId="WW8Num59">
    <w:name w:val="WW8Num59"/>
    <w:basedOn w:val="NoList"/>
    <w:pPr>
      <w:numPr>
        <w:numId w:val="65"/>
      </w:numPr>
    </w:pPr>
  </w:style>
  <w:style w:type="numbering" w:customStyle="1" w:styleId="WW8Num60">
    <w:name w:val="WW8Num60"/>
    <w:basedOn w:val="NoList"/>
    <w:pPr>
      <w:numPr>
        <w:numId w:val="66"/>
      </w:numPr>
    </w:pPr>
  </w:style>
  <w:style w:type="numbering" w:customStyle="1" w:styleId="WW8Num61">
    <w:name w:val="WW8Num61"/>
    <w:basedOn w:val="NoList"/>
    <w:pPr>
      <w:numPr>
        <w:numId w:val="67"/>
      </w:numPr>
    </w:pPr>
  </w:style>
  <w:style w:type="numbering" w:customStyle="1" w:styleId="WW8Num62">
    <w:name w:val="WW8Num62"/>
    <w:basedOn w:val="NoList"/>
    <w:pPr>
      <w:numPr>
        <w:numId w:val="68"/>
      </w:numPr>
    </w:pPr>
  </w:style>
  <w:style w:type="numbering" w:customStyle="1" w:styleId="WW8Num63">
    <w:name w:val="WW8Num63"/>
    <w:basedOn w:val="NoList"/>
    <w:pPr>
      <w:numPr>
        <w:numId w:val="69"/>
      </w:numPr>
    </w:pPr>
  </w:style>
  <w:style w:type="numbering" w:customStyle="1" w:styleId="WW8Num64">
    <w:name w:val="WW8Num64"/>
    <w:basedOn w:val="NoList"/>
    <w:pPr>
      <w:numPr>
        <w:numId w:val="70"/>
      </w:numPr>
    </w:pPr>
  </w:style>
  <w:style w:type="numbering" w:customStyle="1" w:styleId="WW8Num65">
    <w:name w:val="WW8Num65"/>
    <w:basedOn w:val="NoList"/>
    <w:pPr>
      <w:numPr>
        <w:numId w:val="71"/>
      </w:numPr>
    </w:pPr>
  </w:style>
  <w:style w:type="numbering" w:customStyle="1" w:styleId="WW8Num66">
    <w:name w:val="WW8Num66"/>
    <w:basedOn w:val="NoList"/>
    <w:pPr>
      <w:numPr>
        <w:numId w:val="72"/>
      </w:numPr>
    </w:pPr>
  </w:style>
  <w:style w:type="numbering" w:customStyle="1" w:styleId="WW8Num67">
    <w:name w:val="WW8Num67"/>
    <w:basedOn w:val="NoList"/>
    <w:pPr>
      <w:numPr>
        <w:numId w:val="73"/>
      </w:numPr>
    </w:pPr>
  </w:style>
  <w:style w:type="numbering" w:customStyle="1" w:styleId="WW8Num68">
    <w:name w:val="WW8Num68"/>
    <w:basedOn w:val="NoList"/>
    <w:pPr>
      <w:numPr>
        <w:numId w:val="74"/>
      </w:numPr>
    </w:pPr>
  </w:style>
  <w:style w:type="numbering" w:customStyle="1" w:styleId="WW8Num69">
    <w:name w:val="WW8Num69"/>
    <w:basedOn w:val="NoList"/>
    <w:pPr>
      <w:numPr>
        <w:numId w:val="75"/>
      </w:numPr>
    </w:pPr>
  </w:style>
  <w:style w:type="numbering" w:customStyle="1" w:styleId="WW8Num70">
    <w:name w:val="WW8Num70"/>
    <w:basedOn w:val="NoList"/>
    <w:pPr>
      <w:numPr>
        <w:numId w:val="76"/>
      </w:numPr>
    </w:pPr>
  </w:style>
  <w:style w:type="numbering" w:customStyle="1" w:styleId="WW8Num71">
    <w:name w:val="WW8Num71"/>
    <w:basedOn w:val="NoList"/>
    <w:pPr>
      <w:numPr>
        <w:numId w:val="77"/>
      </w:numPr>
    </w:pPr>
  </w:style>
  <w:style w:type="numbering" w:customStyle="1" w:styleId="WW8Num72">
    <w:name w:val="WW8Num72"/>
    <w:basedOn w:val="NoList"/>
    <w:pPr>
      <w:numPr>
        <w:numId w:val="78"/>
      </w:numPr>
    </w:pPr>
  </w:style>
  <w:style w:type="numbering" w:customStyle="1" w:styleId="WW8Num73">
    <w:name w:val="WW8Num73"/>
    <w:basedOn w:val="NoList"/>
    <w:pPr>
      <w:numPr>
        <w:numId w:val="79"/>
      </w:numPr>
    </w:pPr>
  </w:style>
  <w:style w:type="numbering" w:customStyle="1" w:styleId="WW8Num74">
    <w:name w:val="WW8Num74"/>
    <w:basedOn w:val="NoList"/>
    <w:pPr>
      <w:numPr>
        <w:numId w:val="80"/>
      </w:numPr>
    </w:pPr>
  </w:style>
  <w:style w:type="numbering" w:customStyle="1" w:styleId="WW8Num75">
    <w:name w:val="WW8Num75"/>
    <w:basedOn w:val="NoList"/>
    <w:pPr>
      <w:numPr>
        <w:numId w:val="81"/>
      </w:numPr>
    </w:pPr>
  </w:style>
  <w:style w:type="numbering" w:customStyle="1" w:styleId="WW8Num76">
    <w:name w:val="WW8Num76"/>
    <w:basedOn w:val="NoList"/>
    <w:pPr>
      <w:numPr>
        <w:numId w:val="82"/>
      </w:numPr>
    </w:pPr>
  </w:style>
  <w:style w:type="numbering" w:customStyle="1" w:styleId="WW8Num77">
    <w:name w:val="WW8Num77"/>
    <w:basedOn w:val="NoList"/>
    <w:pPr>
      <w:numPr>
        <w:numId w:val="83"/>
      </w:numPr>
    </w:pPr>
  </w:style>
  <w:style w:type="numbering" w:customStyle="1" w:styleId="WW8Num78">
    <w:name w:val="WW8Num78"/>
    <w:basedOn w:val="NoList"/>
    <w:pPr>
      <w:numPr>
        <w:numId w:val="84"/>
      </w:numPr>
    </w:pPr>
  </w:style>
  <w:style w:type="numbering" w:customStyle="1" w:styleId="WW8Num79">
    <w:name w:val="WW8Num79"/>
    <w:basedOn w:val="NoList"/>
    <w:pPr>
      <w:numPr>
        <w:numId w:val="85"/>
      </w:numPr>
    </w:pPr>
  </w:style>
  <w:style w:type="numbering" w:customStyle="1" w:styleId="WW8Num80">
    <w:name w:val="WW8Num80"/>
    <w:basedOn w:val="NoList"/>
    <w:pPr>
      <w:numPr>
        <w:numId w:val="86"/>
      </w:numPr>
    </w:pPr>
  </w:style>
  <w:style w:type="numbering" w:customStyle="1" w:styleId="WW8Num81">
    <w:name w:val="WW8Num81"/>
    <w:basedOn w:val="NoList"/>
    <w:pPr>
      <w:numPr>
        <w:numId w:val="87"/>
      </w:numPr>
    </w:pPr>
  </w:style>
  <w:style w:type="numbering" w:customStyle="1" w:styleId="WW8Num82">
    <w:name w:val="WW8Num82"/>
    <w:basedOn w:val="NoList"/>
    <w:pPr>
      <w:numPr>
        <w:numId w:val="88"/>
      </w:numPr>
    </w:pPr>
  </w:style>
  <w:style w:type="numbering" w:customStyle="1" w:styleId="WW8Num83">
    <w:name w:val="WW8Num83"/>
    <w:basedOn w:val="NoList"/>
    <w:pPr>
      <w:numPr>
        <w:numId w:val="89"/>
      </w:numPr>
    </w:pPr>
  </w:style>
  <w:style w:type="numbering" w:customStyle="1" w:styleId="WW8Num84">
    <w:name w:val="WW8Num84"/>
    <w:basedOn w:val="NoList"/>
    <w:pPr>
      <w:numPr>
        <w:numId w:val="90"/>
      </w:numPr>
    </w:pPr>
  </w:style>
  <w:style w:type="numbering" w:customStyle="1" w:styleId="WW8Num85">
    <w:name w:val="WW8Num85"/>
    <w:basedOn w:val="NoList"/>
    <w:pPr>
      <w:numPr>
        <w:numId w:val="91"/>
      </w:numPr>
    </w:pPr>
  </w:style>
  <w:style w:type="numbering" w:customStyle="1" w:styleId="WW8Num86">
    <w:name w:val="WW8Num86"/>
    <w:basedOn w:val="NoList"/>
    <w:pPr>
      <w:numPr>
        <w:numId w:val="92"/>
      </w:numPr>
    </w:pPr>
  </w:style>
  <w:style w:type="numbering" w:customStyle="1" w:styleId="WW8Num87">
    <w:name w:val="WW8Num87"/>
    <w:basedOn w:val="NoList"/>
    <w:pPr>
      <w:numPr>
        <w:numId w:val="93"/>
      </w:numPr>
    </w:pPr>
  </w:style>
  <w:style w:type="numbering" w:customStyle="1" w:styleId="WW8Num88">
    <w:name w:val="WW8Num88"/>
    <w:basedOn w:val="NoList"/>
    <w:pPr>
      <w:numPr>
        <w:numId w:val="94"/>
      </w:numPr>
    </w:pPr>
  </w:style>
  <w:style w:type="numbering" w:customStyle="1" w:styleId="WW8Num89">
    <w:name w:val="WW8Num89"/>
    <w:basedOn w:val="NoList"/>
    <w:pPr>
      <w:numPr>
        <w:numId w:val="95"/>
      </w:numPr>
    </w:pPr>
  </w:style>
  <w:style w:type="numbering" w:customStyle="1" w:styleId="WW8Num90">
    <w:name w:val="WW8Num90"/>
    <w:basedOn w:val="NoList"/>
    <w:pPr>
      <w:numPr>
        <w:numId w:val="96"/>
      </w:numPr>
    </w:pPr>
  </w:style>
  <w:style w:type="numbering" w:customStyle="1" w:styleId="WW8Num91">
    <w:name w:val="WW8Num91"/>
    <w:basedOn w:val="NoList"/>
    <w:pPr>
      <w:numPr>
        <w:numId w:val="97"/>
      </w:numPr>
    </w:pPr>
  </w:style>
  <w:style w:type="numbering" w:customStyle="1" w:styleId="WW8Num92">
    <w:name w:val="WW8Num92"/>
    <w:basedOn w:val="NoList"/>
    <w:pPr>
      <w:numPr>
        <w:numId w:val="98"/>
      </w:numPr>
    </w:pPr>
  </w:style>
  <w:style w:type="numbering" w:customStyle="1" w:styleId="WW8Num93">
    <w:name w:val="WW8Num93"/>
    <w:basedOn w:val="NoList"/>
    <w:pPr>
      <w:numPr>
        <w:numId w:val="99"/>
      </w:numPr>
    </w:pPr>
  </w:style>
  <w:style w:type="numbering" w:customStyle="1" w:styleId="WW8Num94">
    <w:name w:val="WW8Num94"/>
    <w:basedOn w:val="NoList"/>
    <w:pPr>
      <w:numPr>
        <w:numId w:val="100"/>
      </w:numPr>
    </w:pPr>
  </w:style>
  <w:style w:type="numbering" w:customStyle="1" w:styleId="WW8Num95">
    <w:name w:val="WW8Num95"/>
    <w:basedOn w:val="NoList"/>
    <w:pPr>
      <w:numPr>
        <w:numId w:val="101"/>
      </w:numPr>
    </w:pPr>
  </w:style>
  <w:style w:type="numbering" w:customStyle="1" w:styleId="WW8Num96">
    <w:name w:val="WW8Num96"/>
    <w:basedOn w:val="NoList"/>
    <w:pPr>
      <w:numPr>
        <w:numId w:val="102"/>
      </w:numPr>
    </w:pPr>
  </w:style>
  <w:style w:type="numbering" w:customStyle="1" w:styleId="WW8Num97">
    <w:name w:val="WW8Num97"/>
    <w:basedOn w:val="NoList"/>
    <w:pPr>
      <w:numPr>
        <w:numId w:val="103"/>
      </w:numPr>
    </w:pPr>
  </w:style>
  <w:style w:type="numbering" w:customStyle="1" w:styleId="WW8Num98">
    <w:name w:val="WW8Num98"/>
    <w:basedOn w:val="NoList"/>
    <w:pPr>
      <w:numPr>
        <w:numId w:val="104"/>
      </w:numPr>
    </w:pPr>
  </w:style>
  <w:style w:type="numbering" w:customStyle="1" w:styleId="WW8Num99">
    <w:name w:val="WW8Num99"/>
    <w:basedOn w:val="NoList"/>
    <w:pPr>
      <w:numPr>
        <w:numId w:val="105"/>
      </w:numPr>
    </w:pPr>
  </w:style>
  <w:style w:type="numbering" w:customStyle="1" w:styleId="AppendixNumbering">
    <w:name w:val="AppendixNumbering"/>
    <w:basedOn w:val="NoList"/>
    <w:pPr>
      <w:numPr>
        <w:numId w:val="106"/>
      </w:numPr>
    </w:pPr>
  </w:style>
  <w:style w:type="numbering" w:customStyle="1" w:styleId="AppendixNumTry1">
    <w:name w:val="AppendixNumTry1"/>
    <w:basedOn w:val="NoList"/>
    <w:pPr>
      <w:numPr>
        <w:numId w:val="107"/>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sans-serif" w:hAnsi="Arial, sans-serif" w:cs="Arial, sans-serif"/>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80"/>
    </w:pPr>
    <w:rPr>
      <w:rFonts w:ascii="Arial, sans-serif" w:hAnsi="Arial, sans-serif" w:cs="Arial, sans-serif"/>
    </w:rPr>
  </w:style>
  <w:style w:type="paragraph" w:styleId="Heading1">
    <w:name w:val="heading 1"/>
    <w:basedOn w:val="Normal"/>
    <w:next w:val="Normal"/>
    <w:pPr>
      <w:keepNext/>
      <w:pageBreakBefore/>
      <w:numPr>
        <w:numId w:val="1"/>
      </w:numPr>
      <w:pBdr>
        <w:top w:val="single" w:sz="4" w:space="6" w:color="808080"/>
      </w:pBdr>
      <w:suppressAutoHyphens/>
      <w:spacing w:before="480" w:after="120"/>
      <w:outlineLvl w:val="0"/>
    </w:pPr>
    <w:rPr>
      <w:b/>
      <w:bCs/>
      <w:color w:val="3B006F"/>
      <w:kern w:val="3"/>
      <w:sz w:val="36"/>
      <w:szCs w:val="36"/>
    </w:rPr>
  </w:style>
  <w:style w:type="paragraph" w:styleId="Heading2">
    <w:name w:val="heading 2"/>
    <w:basedOn w:val="Heading1"/>
    <w:next w:val="Normal"/>
    <w:pPr>
      <w:pageBreakBefore w:val="0"/>
      <w:numPr>
        <w:ilvl w:val="1"/>
      </w:numPr>
      <w:pBdr>
        <w:top w:val="none" w:sz="0" w:space="0" w:color="auto"/>
      </w:pBdr>
      <w:spacing w:before="240" w:after="0"/>
      <w:outlineLvl w:val="1"/>
    </w:pPr>
    <w:rPr>
      <w:bCs w:val="0"/>
      <w:iCs/>
      <w:sz w:val="28"/>
      <w:szCs w:val="28"/>
    </w:rPr>
  </w:style>
  <w:style w:type="paragraph" w:styleId="Heading3">
    <w:name w:val="heading 3"/>
    <w:basedOn w:val="Heading2"/>
    <w:next w:val="Normal"/>
    <w:pPr>
      <w:numPr>
        <w:ilvl w:val="2"/>
      </w:numPr>
      <w:outlineLvl w:val="2"/>
    </w:pPr>
    <w:rPr>
      <w:bCs/>
      <w:sz w:val="26"/>
      <w:szCs w:val="26"/>
    </w:rPr>
  </w:style>
  <w:style w:type="paragraph" w:styleId="Heading4">
    <w:name w:val="heading 4"/>
    <w:basedOn w:val="Heading3"/>
    <w:next w:val="Normal"/>
    <w:pPr>
      <w:numPr>
        <w:ilvl w:val="3"/>
      </w:numPr>
      <w:outlineLvl w:val="3"/>
    </w:pPr>
    <w:rPr>
      <w:bCs w:val="0"/>
      <w:sz w:val="24"/>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 w:val="22"/>
      <w:szCs w:val="22"/>
    </w:r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sans-serif" w:eastAsia="MS Mincho" w:hAnsi="Arial, sans-serif" w:cs="Tahoma"/>
      <w:sz w:val="28"/>
      <w:szCs w:val="28"/>
    </w:rPr>
  </w:style>
  <w:style w:type="paragraph" w:customStyle="1" w:styleId="Textbody">
    <w:name w:val="Text body"/>
    <w:basedOn w:val="Standard"/>
    <w:pPr>
      <w:suppressLineNumbers/>
      <w:spacing w:after="120"/>
    </w:pPr>
  </w:style>
  <w:style w:type="paragraph" w:styleId="Title">
    <w:name w:val="Title"/>
    <w:basedOn w:val="Normal"/>
    <w:pPr>
      <w:suppressLineNumbers/>
      <w:pBdr>
        <w:top w:val="single" w:sz="4" w:space="1" w:color="808080"/>
      </w:pBdr>
      <w:suppressAutoHyphens/>
      <w:spacing w:after="240"/>
    </w:pPr>
    <w:rPr>
      <w:b/>
      <w:bCs/>
      <w:color w:val="3B006F"/>
      <w:kern w:val="3"/>
      <w:sz w:val="48"/>
      <w:szCs w:val="48"/>
    </w:rPr>
  </w:style>
  <w:style w:type="paragraph" w:styleId="Subtitle">
    <w:name w:val="Subtitle"/>
    <w:basedOn w:val="Title"/>
    <w:rPr>
      <w:sz w:val="36"/>
      <w:szCs w:val="36"/>
    </w:rPr>
  </w:style>
  <w:style w:type="paragraph" w:customStyle="1" w:styleId="Titlepageinfo">
    <w:name w:val="Title page info"/>
    <w:basedOn w:val="Normal"/>
    <w:next w:val="Titlepageinfodescription"/>
    <w:pPr>
      <w:keepNext/>
      <w:suppressLineNumbers/>
      <w:suppressAutoHyphens/>
      <w:spacing w:before="86" w:after="0"/>
    </w:pPr>
    <w:rPr>
      <w:b/>
      <w:color w:val="3B006F"/>
    </w:rPr>
  </w:style>
  <w:style w:type="paragraph" w:customStyle="1" w:styleId="Titlepageinfodescription">
    <w:name w:val="Title page info description"/>
    <w:basedOn w:val="Titlepageinfo"/>
    <w:next w:val="Titlepageinfo"/>
    <w:pPr>
      <w:keepNext w:val="0"/>
      <w:spacing w:before="0"/>
      <w:ind w:left="720"/>
    </w:pPr>
    <w:rPr>
      <w:b w:val="0"/>
      <w:color w:val="auto"/>
    </w:rPr>
  </w:style>
  <w:style w:type="paragraph" w:customStyle="1" w:styleId="Contributor">
    <w:name w:val="Contributor"/>
    <w:basedOn w:val="Titlepageinfodescription"/>
  </w:style>
  <w:style w:type="paragraph" w:customStyle="1" w:styleId="Legalnotice">
    <w:name w:val="Legal notice"/>
    <w:basedOn w:val="Titlepageinfodescription"/>
    <w:pPr>
      <w:spacing w:before="240"/>
      <w:ind w:left="0"/>
    </w:pPr>
  </w:style>
  <w:style w:type="paragraph" w:styleId="TOC1">
    <w:name w:val="toc 1"/>
    <w:basedOn w:val="Normal"/>
    <w:next w:val="Normal"/>
    <w:autoRedefine/>
    <w:pPr>
      <w:suppressLineNumbers/>
      <w:suppressAutoHyphens/>
      <w:spacing w:before="60" w:after="60"/>
    </w:pPr>
  </w:style>
  <w:style w:type="paragraph" w:styleId="TOC2">
    <w:name w:val="toc 2"/>
    <w:basedOn w:val="Normal"/>
    <w:next w:val="Normal"/>
    <w:autoRedefine/>
    <w:pPr>
      <w:suppressLineNumbers/>
      <w:suppressAutoHyphens/>
      <w:spacing w:before="60" w:after="60"/>
      <w:ind w:left="240"/>
    </w:pPr>
  </w:style>
  <w:style w:type="paragraph" w:styleId="TOC3">
    <w:name w:val="toc 3"/>
    <w:basedOn w:val="Normal"/>
    <w:next w:val="Normal"/>
    <w:autoRedefine/>
    <w:pPr>
      <w:suppressLineNumbers/>
      <w:suppressAutoHyphens/>
      <w:spacing w:before="60" w:after="60"/>
      <w:ind w:left="480"/>
    </w:pPr>
  </w:style>
  <w:style w:type="paragraph" w:customStyle="1" w:styleId="Code">
    <w:name w:val="Code"/>
    <w:basedOn w:val="Normal"/>
    <w:pPr>
      <w:keepLines/>
      <w:pBdr>
        <w:top w:val="single" w:sz="4" w:space="3" w:color="000000"/>
        <w:bottom w:val="single" w:sz="4" w:space="3" w:color="000000"/>
      </w:pBdr>
      <w:shd w:val="clear" w:color="auto" w:fill="D9D9D9"/>
      <w:suppressAutoHyphens/>
      <w:spacing w:after="0"/>
      <w:ind w:left="432" w:right="432"/>
    </w:pPr>
    <w:rPr>
      <w:rFonts w:ascii="Courier New" w:hAnsi="Courier New"/>
      <w:sz w:val="18"/>
    </w:rPr>
  </w:style>
  <w:style w:type="paragraph" w:customStyle="1" w:styleId="AppendixHeading2">
    <w:name w:val="AppendixHeading2"/>
    <w:basedOn w:val="Heading2"/>
    <w:next w:val="Normal"/>
    <w:pPr>
      <w:numPr>
        <w:ilvl w:val="0"/>
        <w:numId w:val="0"/>
      </w:numPr>
    </w:pPr>
  </w:style>
  <w:style w:type="paragraph" w:styleId="NormalWeb">
    <w:name w:val="Normal (Web)"/>
    <w:basedOn w:val="Normal"/>
    <w:pPr>
      <w:suppressAutoHyphens/>
      <w:spacing w:before="100" w:after="10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Arial Unicode MS" w:eastAsia="Arial Unicode MS" w:hAnsi="Arial Unicode MS" w:cs="Arial Unicode MS"/>
    </w:rPr>
  </w:style>
  <w:style w:type="paragraph" w:styleId="NoteHeading">
    <w:name w:val="Note Heading"/>
    <w:basedOn w:val="Normal"/>
    <w:next w:val="Normal"/>
    <w:pPr>
      <w:suppressAutoHyphens/>
    </w:pPr>
  </w:style>
  <w:style w:type="paragraph" w:customStyle="1" w:styleId="Note">
    <w:name w:val="Note"/>
    <w:basedOn w:val="Normal"/>
    <w:next w:val="Normal"/>
    <w:pPr>
      <w:suppressAutoHyphens/>
      <w:spacing w:before="120" w:after="120"/>
      <w:ind w:left="720" w:right="720"/>
    </w:pPr>
  </w:style>
  <w:style w:type="paragraph" w:customStyle="1" w:styleId="Definitionterm">
    <w:name w:val="Definition term"/>
    <w:basedOn w:val="Normal"/>
    <w:next w:val="Definition"/>
    <w:pPr>
      <w:suppressAutoHyphens/>
      <w:ind w:right="2880"/>
    </w:pPr>
    <w:rPr>
      <w:rFonts w:eastAsia="Arial Unicode MS"/>
      <w:b/>
    </w:rPr>
  </w:style>
  <w:style w:type="paragraph" w:customStyle="1" w:styleId="Definition">
    <w:name w:val="Definition"/>
    <w:basedOn w:val="Normal"/>
    <w:next w:val="Definitionterm"/>
    <w:pPr>
      <w:suppressAutoHyphens/>
      <w:spacing w:after="120"/>
      <w:ind w:left="720"/>
    </w:pPr>
    <w:rPr>
      <w:rFonts w:eastAsia="Arial Unicode MS"/>
    </w:rPr>
  </w:style>
  <w:style w:type="paragraph" w:customStyle="1" w:styleId="Ref">
    <w:name w:val="Ref"/>
    <w:basedOn w:val="Normal"/>
    <w:autoRedefine/>
    <w:pPr>
      <w:suppressAutoHyphens/>
      <w:spacing w:before="40" w:after="40"/>
      <w:ind w:left="1800" w:hanging="1455"/>
    </w:pPr>
    <w:rPr>
      <w:bCs/>
      <w:color w:val="000000"/>
    </w:rPr>
  </w:style>
  <w:style w:type="paragraph" w:styleId="Header">
    <w:name w:val="header"/>
    <w:basedOn w:val="Normal"/>
    <w:pPr>
      <w:suppressLineNumbers/>
      <w:tabs>
        <w:tab w:val="center" w:pos="4320"/>
        <w:tab w:val="right" w:pos="8640"/>
      </w:tabs>
      <w:suppressAutoHyphens/>
    </w:pPr>
  </w:style>
  <w:style w:type="paragraph" w:styleId="Footer">
    <w:name w:val="footer"/>
    <w:basedOn w:val="Normal"/>
    <w:pPr>
      <w:suppressLineNumbers/>
      <w:tabs>
        <w:tab w:val="center" w:pos="4320"/>
        <w:tab w:val="right" w:pos="8640"/>
      </w:tabs>
      <w:suppressAutoHyphens/>
    </w:pPr>
  </w:style>
  <w:style w:type="paragraph" w:customStyle="1" w:styleId="AppendixHeading1">
    <w:name w:val="AppendixHeading1"/>
    <w:basedOn w:val="Heading1"/>
    <w:next w:val="Normal"/>
    <w:pPr>
      <w:numPr>
        <w:numId w:val="0"/>
      </w:numPr>
      <w:spacing w:before="100" w:after="100"/>
    </w:pPr>
  </w:style>
  <w:style w:type="paragraph" w:styleId="TOC7">
    <w:name w:val="toc 7"/>
    <w:basedOn w:val="Normal"/>
    <w:next w:val="Normal"/>
    <w:autoRedefine/>
    <w:pPr>
      <w:suppressAutoHyphens/>
      <w:spacing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suppressAutoHyphens/>
    </w:pPr>
  </w:style>
  <w:style w:type="paragraph" w:styleId="TOC4">
    <w:name w:val="toc 4"/>
    <w:basedOn w:val="TOC3"/>
    <w:next w:val="Normal"/>
    <w:autoRedefine/>
    <w:pPr>
      <w:ind w:left="720"/>
    </w:pPr>
    <w:rPr>
      <w:sz w:val="18"/>
    </w:rPr>
  </w:style>
  <w:style w:type="paragraph" w:styleId="TOC5">
    <w:name w:val="toc 5"/>
    <w:basedOn w:val="TOC4"/>
    <w:next w:val="Normal"/>
    <w:autoRedefine/>
    <w:pPr>
      <w:ind w:left="960"/>
    </w:pPr>
  </w:style>
  <w:style w:type="paragraph" w:styleId="TOC6">
    <w:name w:val="toc 6"/>
    <w:basedOn w:val="Normal"/>
    <w:next w:val="Normal"/>
    <w:autoRedefine/>
    <w:pPr>
      <w:suppressAutoHyphens/>
      <w:ind w:left="1200"/>
    </w:pPr>
    <w:rPr>
      <w:sz w:val="18"/>
    </w:rPr>
  </w:style>
  <w:style w:type="paragraph" w:styleId="Caption">
    <w:name w:val="caption"/>
    <w:basedOn w:val="Normal"/>
    <w:next w:val="Normal"/>
    <w:autoRedefine/>
    <w:pPr>
      <w:suppressAutoHyphens/>
      <w:spacing w:before="120" w:after="120"/>
    </w:pPr>
    <w:rPr>
      <w:bCs/>
      <w:i/>
      <w:sz w:val="24"/>
    </w:rPr>
  </w:style>
  <w:style w:type="paragraph" w:styleId="ListBullet2">
    <w:name w:val="List Bullet 2"/>
    <w:basedOn w:val="Normal"/>
    <w:pPr>
      <w:numPr>
        <w:numId w:val="4"/>
      </w:numPr>
      <w:suppressAutoHyphens/>
    </w:pPr>
  </w:style>
  <w:style w:type="paragraph" w:customStyle="1" w:styleId="RelatedWork">
    <w:name w:val="Related Work"/>
    <w:basedOn w:val="Titlepageinfodescription"/>
    <w:pPr>
      <w:numPr>
        <w:numId w:val="5"/>
      </w:numPr>
    </w:pPr>
  </w:style>
  <w:style w:type="paragraph" w:customStyle="1" w:styleId="Abstract">
    <w:name w:val="Abstract"/>
    <w:basedOn w:val="Titlepageinfodescription"/>
  </w:style>
  <w:style w:type="paragraph" w:customStyle="1" w:styleId="Notices">
    <w:name w:val="Notices"/>
    <w:basedOn w:val="Subtitle"/>
    <w:next w:val="TextBody0"/>
    <w:pPr>
      <w:pageBreakBefore/>
    </w:pPr>
  </w:style>
  <w:style w:type="paragraph" w:customStyle="1" w:styleId="TextBody0">
    <w:name w:val="Text Body"/>
    <w:basedOn w:val="Abstract"/>
    <w:pPr>
      <w:ind w:left="0"/>
    </w:pPr>
  </w:style>
  <w:style w:type="paragraph" w:customStyle="1" w:styleId="AppendixHeading3">
    <w:name w:val="AppendixHeading3"/>
    <w:basedOn w:val="AppendixHeading2"/>
    <w:next w:val="Normal"/>
    <w:pPr>
      <w:numPr>
        <w:numId w:val="106"/>
      </w:numPr>
      <w:outlineLvl w:val="2"/>
    </w:pPr>
  </w:style>
  <w:style w:type="paragraph" w:styleId="List">
    <w:name w:val="List"/>
    <w:basedOn w:val="Textbody"/>
    <w:rPr>
      <w:sz w:val="24"/>
    </w:rPr>
  </w:style>
  <w:style w:type="paragraph" w:customStyle="1" w:styleId="Index">
    <w:name w:val="Index"/>
    <w:basedOn w:val="Standard"/>
    <w:pPr>
      <w:suppressLineNumbers/>
    </w:pPr>
    <w:rPr>
      <w:sz w:val="24"/>
    </w:rPr>
  </w:style>
  <w:style w:type="paragraph" w:customStyle="1" w:styleId="TableContents">
    <w:name w:val="Table Contents"/>
    <w:basedOn w:val="Standard"/>
    <w:pPr>
      <w:suppressLineNumbers/>
    </w:pPr>
  </w:style>
  <w:style w:type="paragraph" w:customStyle="1" w:styleId="Contents4">
    <w:name w:val="Contents 4"/>
    <w:basedOn w:val="Index"/>
    <w:pPr>
      <w:tabs>
        <w:tab w:val="right" w:leader="dot" w:pos="9972"/>
      </w:tabs>
      <w:ind w:left="849"/>
    </w:pPr>
    <w:rPr>
      <w:sz w:val="20"/>
    </w:rPr>
  </w:style>
  <w:style w:type="paragraph" w:customStyle="1" w:styleId="Contents5">
    <w:name w:val="Contents 5"/>
    <w:basedOn w:val="Index"/>
    <w:pPr>
      <w:tabs>
        <w:tab w:val="right" w:leader="dot" w:pos="9972"/>
      </w:tabs>
      <w:ind w:left="1132"/>
    </w:pPr>
    <w:rPr>
      <w:sz w:val="20"/>
    </w:rPr>
  </w:style>
  <w:style w:type="paragraph" w:customStyle="1" w:styleId="Contents6">
    <w:name w:val="Contents 6"/>
    <w:basedOn w:val="Index"/>
    <w:pPr>
      <w:tabs>
        <w:tab w:val="right" w:leader="dot" w:pos="9972"/>
      </w:tabs>
      <w:ind w:left="1415"/>
    </w:pPr>
    <w:rPr>
      <w:sz w:val="20"/>
    </w:rPr>
  </w:style>
  <w:style w:type="paragraph" w:customStyle="1" w:styleId="Contents7">
    <w:name w:val="Contents 7"/>
    <w:basedOn w:val="Index"/>
    <w:pPr>
      <w:tabs>
        <w:tab w:val="right" w:leader="dot" w:pos="9972"/>
      </w:tabs>
      <w:ind w:left="1698"/>
    </w:pPr>
    <w:rPr>
      <w:sz w:val="20"/>
    </w:rPr>
  </w:style>
  <w:style w:type="paragraph" w:customStyle="1" w:styleId="Contents8">
    <w:name w:val="Contents 8"/>
    <w:basedOn w:val="Index"/>
    <w:pPr>
      <w:tabs>
        <w:tab w:val="right" w:leader="dot" w:pos="9972"/>
      </w:tabs>
      <w:ind w:left="1981"/>
    </w:pPr>
    <w:rPr>
      <w:sz w:val="20"/>
    </w:rPr>
  </w:style>
  <w:style w:type="paragraph" w:customStyle="1" w:styleId="Contents9">
    <w:name w:val="Contents 9"/>
    <w:basedOn w:val="Index"/>
    <w:pPr>
      <w:tabs>
        <w:tab w:val="right" w:leader="dot" w:pos="9972"/>
      </w:tabs>
      <w:ind w:left="2264"/>
    </w:pPr>
    <w:rPr>
      <w:sz w:val="20"/>
    </w:rPr>
  </w:style>
  <w:style w:type="paragraph" w:customStyle="1" w:styleId="TableHeading">
    <w:name w:val="Table Heading"/>
    <w:basedOn w:val="TableContents"/>
    <w:pPr>
      <w:jc w:val="center"/>
    </w:pPr>
    <w:rPr>
      <w:b/>
      <w:bCs/>
      <w:i/>
      <w:iCs/>
      <w:sz w:val="18"/>
    </w:rPr>
  </w:style>
  <w:style w:type="paragraph" w:customStyle="1" w:styleId="refterm">
    <w:name w:val="refterm"/>
    <w:basedOn w:val="Standard"/>
    <w:pPr>
      <w:spacing w:before="101"/>
    </w:pPr>
    <w:rPr>
      <w:rFonts w:ascii="Arial, sans-serif" w:hAnsi="Arial, sans-serif" w:cs="Arial, sans-serif"/>
      <w:b/>
      <w:bCs/>
    </w:rPr>
  </w:style>
  <w:style w:type="paragraph" w:customStyle="1" w:styleId="ref0">
    <w:name w:val="ref"/>
    <w:basedOn w:val="Standard"/>
    <w:pPr>
      <w:spacing w:after="101"/>
      <w:ind w:left="1875"/>
    </w:pPr>
    <w:rPr>
      <w:rFonts w:ascii="Arial, sans-serif" w:hAnsi="Arial, sans-serif" w:cs="Arial, sans-serif"/>
    </w:rPr>
  </w:style>
  <w:style w:type="character" w:customStyle="1" w:styleId="Datatype">
    <w:name w:val="Datatype"/>
    <w:rPr>
      <w:rFonts w:ascii="Courier New" w:hAnsi="Courier New"/>
    </w:rPr>
  </w:style>
  <w:style w:type="character" w:styleId="Hyperlink">
    <w:name w:val="Hyperlink"/>
    <w:rPr>
      <w:color w:val="0000EE"/>
      <w:u w:val="none"/>
    </w:r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character" w:styleId="PageNumber">
    <w:name w:val="page number"/>
    <w:basedOn w:val="DefaultParagraphFont"/>
  </w:style>
  <w:style w:type="character" w:customStyle="1" w:styleId="Refterm0">
    <w:name w:val="Ref term"/>
    <w:rPr>
      <w:b/>
    </w:rPr>
  </w:style>
  <w:style w:type="character" w:styleId="LineNumber">
    <w:name w:val="line number"/>
    <w:basedOn w:val="DefaultParagraphFont"/>
  </w:style>
  <w:style w:type="character" w:customStyle="1" w:styleId="CODEtemp">
    <w:name w:val="CODE temp"/>
    <w:rPr>
      <w:rFonts w:ascii="Courier New" w:hAnsi="Courier New"/>
      <w:sz w:val="20"/>
    </w:rPr>
  </w:style>
  <w:style w:type="character" w:customStyle="1" w:styleId="Variable">
    <w:name w:val="Variable"/>
    <w:rPr>
      <w:i/>
    </w:rPr>
  </w:style>
  <w:style w:type="paragraph" w:styleId="BalloonText">
    <w:name w:val="Balloon Text"/>
    <w:basedOn w:val="Normal"/>
    <w:link w:val="BalloonTextChar"/>
    <w:uiPriority w:val="99"/>
    <w:semiHidden/>
    <w:unhideWhenUsed/>
    <w:rsid w:val="003135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7D"/>
    <w:rPr>
      <w:rFonts w:ascii="Tahoma" w:hAnsi="Tahoma" w:cs="Tahoma"/>
      <w:sz w:val="16"/>
      <w:szCs w:val="16"/>
    </w:rPr>
  </w:style>
  <w:style w:type="paragraph" w:styleId="ListParagraph">
    <w:name w:val="List Paragraph"/>
    <w:basedOn w:val="Normal"/>
    <w:uiPriority w:val="34"/>
    <w:qFormat/>
    <w:rsid w:val="00CB6006"/>
    <w:pPr>
      <w:ind w:left="720"/>
      <w:contextualSpacing/>
    </w:pPr>
  </w:style>
  <w:style w:type="character" w:customStyle="1" w:styleId="Internetlink">
    <w:name w:val="Internet link"/>
    <w:rPr>
      <w:rFonts w:ascii="Arial, sans-serif" w:hAnsi="Arial, sans-serif"/>
      <w:color w:val="0000FF"/>
      <w:u w:val="none"/>
      <w:shd w:val="clear" w:color="auto" w:fill="auto"/>
    </w:rPr>
  </w:style>
  <w:style w:type="character" w:customStyle="1" w:styleId="BulletSymbols">
    <w:name w:val="Bullet Symbols"/>
    <w:rPr>
      <w:rFonts w:ascii="OpenSymbol" w:eastAsia="OpenSymbol" w:hAnsi="OpenSymbol" w:cs="OpenSymbol"/>
    </w:rPr>
  </w:style>
  <w:style w:type="character" w:customStyle="1" w:styleId="Rubies">
    <w:name w:val="Rubies"/>
    <w:rPr>
      <w:sz w:val="12"/>
      <w:szCs w:val="12"/>
      <w:u w:val="none"/>
      <w:em w:val="none"/>
    </w:rPr>
  </w:style>
  <w:style w:type="character" w:customStyle="1" w:styleId="NumberingSymbols">
    <w:name w:val="Numbering Symbols"/>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10z0">
    <w:name w:val="WW8Num10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4z0">
    <w:name w:val="WW8Num44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70z1">
    <w:name w:val="WW8Num70z1"/>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1z0">
    <w:name w:val="WW8Num81z0"/>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7z0">
    <w:name w:val="WW8Num87z0"/>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VisitedInternetLink">
    <w:name w:val="Visited Internet Link"/>
    <w:rPr>
      <w:color w:val="800000"/>
      <w:u w:val="single"/>
    </w:rPr>
  </w:style>
  <w:style w:type="numbering" w:customStyle="1" w:styleId="List1">
    <w:name w:val="List 1"/>
    <w:basedOn w:val="NoList"/>
    <w:pPr>
      <w:numPr>
        <w:numId w:val="2"/>
      </w:numPr>
    </w:pPr>
  </w:style>
  <w:style w:type="numbering" w:customStyle="1" w:styleId="LFO8">
    <w:name w:val="LFO8"/>
    <w:basedOn w:val="NoList"/>
    <w:pPr>
      <w:numPr>
        <w:numId w:val="3"/>
      </w:numPr>
    </w:pPr>
  </w:style>
  <w:style w:type="numbering" w:customStyle="1" w:styleId="LFO30">
    <w:name w:val="LFO30"/>
    <w:basedOn w:val="NoList"/>
    <w:pPr>
      <w:numPr>
        <w:numId w:val="4"/>
      </w:numPr>
    </w:pPr>
  </w:style>
  <w:style w:type="numbering" w:customStyle="1" w:styleId="BulletRelatedWork">
    <w:name w:val="BulletRelatedWork"/>
    <w:basedOn w:val="NoList"/>
    <w:pPr>
      <w:numPr>
        <w:numId w:val="5"/>
      </w:numPr>
    </w:pPr>
  </w:style>
  <w:style w:type="numbering" w:customStyle="1" w:styleId="LFO33">
    <w:name w:val="LFO33"/>
    <w:basedOn w:val="NoList"/>
    <w:pPr>
      <w:numPr>
        <w:numId w:val="6"/>
      </w:numPr>
    </w:pPr>
  </w:style>
  <w:style w:type="numbering" w:customStyle="1" w:styleId="WW8Num1">
    <w:name w:val="WW8Num1"/>
    <w:basedOn w:val="NoList"/>
    <w:pPr>
      <w:numPr>
        <w:numId w:val="7"/>
      </w:numPr>
    </w:pPr>
  </w:style>
  <w:style w:type="numbering" w:customStyle="1" w:styleId="WW8Num2">
    <w:name w:val="WW8Num2"/>
    <w:basedOn w:val="NoList"/>
    <w:pPr>
      <w:numPr>
        <w:numId w:val="8"/>
      </w:numPr>
    </w:pPr>
  </w:style>
  <w:style w:type="numbering" w:customStyle="1" w:styleId="WW8Num3">
    <w:name w:val="WW8Num3"/>
    <w:basedOn w:val="NoList"/>
    <w:pPr>
      <w:numPr>
        <w:numId w:val="9"/>
      </w:numPr>
    </w:pPr>
  </w:style>
  <w:style w:type="numbering" w:customStyle="1" w:styleId="WW8Num4">
    <w:name w:val="WW8Num4"/>
    <w:basedOn w:val="NoList"/>
    <w:pPr>
      <w:numPr>
        <w:numId w:val="10"/>
      </w:numPr>
    </w:pPr>
  </w:style>
  <w:style w:type="numbering" w:customStyle="1" w:styleId="WW8Num5">
    <w:name w:val="WW8Num5"/>
    <w:basedOn w:val="NoList"/>
    <w:pPr>
      <w:numPr>
        <w:numId w:val="11"/>
      </w:numPr>
    </w:pPr>
  </w:style>
  <w:style w:type="numbering" w:customStyle="1" w:styleId="WW8Num6">
    <w:name w:val="WW8Num6"/>
    <w:basedOn w:val="NoList"/>
    <w:pPr>
      <w:numPr>
        <w:numId w:val="12"/>
      </w:numPr>
    </w:pPr>
  </w:style>
  <w:style w:type="numbering" w:customStyle="1" w:styleId="WW8Num7">
    <w:name w:val="WW8Num7"/>
    <w:basedOn w:val="NoList"/>
    <w:pPr>
      <w:numPr>
        <w:numId w:val="13"/>
      </w:numPr>
    </w:pPr>
  </w:style>
  <w:style w:type="numbering" w:customStyle="1" w:styleId="WW8Num8">
    <w:name w:val="WW8Num8"/>
    <w:basedOn w:val="NoList"/>
    <w:pPr>
      <w:numPr>
        <w:numId w:val="14"/>
      </w:numPr>
    </w:pPr>
  </w:style>
  <w:style w:type="numbering" w:customStyle="1" w:styleId="WW8Num9">
    <w:name w:val="WW8Num9"/>
    <w:basedOn w:val="NoList"/>
    <w:pPr>
      <w:numPr>
        <w:numId w:val="15"/>
      </w:numPr>
    </w:pPr>
  </w:style>
  <w:style w:type="numbering" w:customStyle="1" w:styleId="WW8Num10">
    <w:name w:val="WW8Num10"/>
    <w:basedOn w:val="NoList"/>
    <w:pPr>
      <w:numPr>
        <w:numId w:val="16"/>
      </w:numPr>
    </w:pPr>
  </w:style>
  <w:style w:type="numbering" w:customStyle="1" w:styleId="WW8Num11">
    <w:name w:val="WW8Num11"/>
    <w:basedOn w:val="NoList"/>
    <w:pPr>
      <w:numPr>
        <w:numId w:val="17"/>
      </w:numPr>
    </w:pPr>
  </w:style>
  <w:style w:type="numbering" w:customStyle="1" w:styleId="WW8Num12">
    <w:name w:val="WW8Num12"/>
    <w:basedOn w:val="NoList"/>
    <w:pPr>
      <w:numPr>
        <w:numId w:val="18"/>
      </w:numPr>
    </w:pPr>
  </w:style>
  <w:style w:type="numbering" w:customStyle="1" w:styleId="WW8Num13">
    <w:name w:val="WW8Num13"/>
    <w:basedOn w:val="NoList"/>
    <w:pPr>
      <w:numPr>
        <w:numId w:val="19"/>
      </w:numPr>
    </w:pPr>
  </w:style>
  <w:style w:type="numbering" w:customStyle="1" w:styleId="WW8Num14">
    <w:name w:val="WW8Num14"/>
    <w:basedOn w:val="NoList"/>
    <w:pPr>
      <w:numPr>
        <w:numId w:val="20"/>
      </w:numPr>
    </w:pPr>
  </w:style>
  <w:style w:type="numbering" w:customStyle="1" w:styleId="WW8Num15">
    <w:name w:val="WW8Num15"/>
    <w:basedOn w:val="NoList"/>
    <w:pPr>
      <w:numPr>
        <w:numId w:val="21"/>
      </w:numPr>
    </w:pPr>
  </w:style>
  <w:style w:type="numbering" w:customStyle="1" w:styleId="WW8Num16">
    <w:name w:val="WW8Num16"/>
    <w:basedOn w:val="NoList"/>
    <w:pPr>
      <w:numPr>
        <w:numId w:val="22"/>
      </w:numPr>
    </w:pPr>
  </w:style>
  <w:style w:type="numbering" w:customStyle="1" w:styleId="WW8Num17">
    <w:name w:val="WW8Num17"/>
    <w:basedOn w:val="NoList"/>
    <w:pPr>
      <w:numPr>
        <w:numId w:val="23"/>
      </w:numPr>
    </w:pPr>
  </w:style>
  <w:style w:type="numbering" w:customStyle="1" w:styleId="WW8Num18">
    <w:name w:val="WW8Num18"/>
    <w:basedOn w:val="NoList"/>
    <w:pPr>
      <w:numPr>
        <w:numId w:val="24"/>
      </w:numPr>
    </w:pPr>
  </w:style>
  <w:style w:type="numbering" w:customStyle="1" w:styleId="WW8Num19">
    <w:name w:val="WW8Num19"/>
    <w:basedOn w:val="NoList"/>
    <w:pPr>
      <w:numPr>
        <w:numId w:val="25"/>
      </w:numPr>
    </w:pPr>
  </w:style>
  <w:style w:type="numbering" w:customStyle="1" w:styleId="WW8Num20">
    <w:name w:val="WW8Num20"/>
    <w:basedOn w:val="NoList"/>
    <w:pPr>
      <w:numPr>
        <w:numId w:val="26"/>
      </w:numPr>
    </w:pPr>
  </w:style>
  <w:style w:type="numbering" w:customStyle="1" w:styleId="WW8Num21">
    <w:name w:val="WW8Num21"/>
    <w:basedOn w:val="NoList"/>
    <w:pPr>
      <w:numPr>
        <w:numId w:val="27"/>
      </w:numPr>
    </w:pPr>
  </w:style>
  <w:style w:type="numbering" w:customStyle="1" w:styleId="WW8Num22">
    <w:name w:val="WW8Num22"/>
    <w:basedOn w:val="NoList"/>
    <w:pPr>
      <w:numPr>
        <w:numId w:val="28"/>
      </w:numPr>
    </w:pPr>
  </w:style>
  <w:style w:type="numbering" w:customStyle="1" w:styleId="WW8Num23">
    <w:name w:val="WW8Num23"/>
    <w:basedOn w:val="NoList"/>
    <w:pPr>
      <w:numPr>
        <w:numId w:val="29"/>
      </w:numPr>
    </w:pPr>
  </w:style>
  <w:style w:type="numbering" w:customStyle="1" w:styleId="WW8Num24">
    <w:name w:val="WW8Num24"/>
    <w:basedOn w:val="NoList"/>
    <w:pPr>
      <w:numPr>
        <w:numId w:val="30"/>
      </w:numPr>
    </w:pPr>
  </w:style>
  <w:style w:type="numbering" w:customStyle="1" w:styleId="WW8Num25">
    <w:name w:val="WW8Num25"/>
    <w:basedOn w:val="NoList"/>
    <w:pPr>
      <w:numPr>
        <w:numId w:val="31"/>
      </w:numPr>
    </w:pPr>
  </w:style>
  <w:style w:type="numbering" w:customStyle="1" w:styleId="WW8Num26">
    <w:name w:val="WW8Num26"/>
    <w:basedOn w:val="NoList"/>
    <w:pPr>
      <w:numPr>
        <w:numId w:val="32"/>
      </w:numPr>
    </w:pPr>
  </w:style>
  <w:style w:type="numbering" w:customStyle="1" w:styleId="WW8Num27">
    <w:name w:val="WW8Num27"/>
    <w:basedOn w:val="NoList"/>
    <w:pPr>
      <w:numPr>
        <w:numId w:val="33"/>
      </w:numPr>
    </w:pPr>
  </w:style>
  <w:style w:type="numbering" w:customStyle="1" w:styleId="WW8Num28">
    <w:name w:val="WW8Num28"/>
    <w:basedOn w:val="NoList"/>
    <w:pPr>
      <w:numPr>
        <w:numId w:val="34"/>
      </w:numPr>
    </w:pPr>
  </w:style>
  <w:style w:type="numbering" w:customStyle="1" w:styleId="WW8Num29">
    <w:name w:val="WW8Num29"/>
    <w:basedOn w:val="NoList"/>
    <w:pPr>
      <w:numPr>
        <w:numId w:val="35"/>
      </w:numPr>
    </w:pPr>
  </w:style>
  <w:style w:type="numbering" w:customStyle="1" w:styleId="WW8Num30">
    <w:name w:val="WW8Num30"/>
    <w:basedOn w:val="NoList"/>
    <w:pPr>
      <w:numPr>
        <w:numId w:val="36"/>
      </w:numPr>
    </w:pPr>
  </w:style>
  <w:style w:type="numbering" w:customStyle="1" w:styleId="WW8Num31">
    <w:name w:val="WW8Num31"/>
    <w:basedOn w:val="NoList"/>
    <w:pPr>
      <w:numPr>
        <w:numId w:val="37"/>
      </w:numPr>
    </w:pPr>
  </w:style>
  <w:style w:type="numbering" w:customStyle="1" w:styleId="WW8Num32">
    <w:name w:val="WW8Num32"/>
    <w:basedOn w:val="NoList"/>
    <w:pPr>
      <w:numPr>
        <w:numId w:val="38"/>
      </w:numPr>
    </w:pPr>
  </w:style>
  <w:style w:type="numbering" w:customStyle="1" w:styleId="WW8Num33">
    <w:name w:val="WW8Num33"/>
    <w:basedOn w:val="NoList"/>
    <w:pPr>
      <w:numPr>
        <w:numId w:val="39"/>
      </w:numPr>
    </w:pPr>
  </w:style>
  <w:style w:type="numbering" w:customStyle="1" w:styleId="WW8Num34">
    <w:name w:val="WW8Num34"/>
    <w:basedOn w:val="NoList"/>
    <w:pPr>
      <w:numPr>
        <w:numId w:val="40"/>
      </w:numPr>
    </w:pPr>
  </w:style>
  <w:style w:type="numbering" w:customStyle="1" w:styleId="WW8Num35">
    <w:name w:val="WW8Num35"/>
    <w:basedOn w:val="NoList"/>
    <w:pPr>
      <w:numPr>
        <w:numId w:val="41"/>
      </w:numPr>
    </w:pPr>
  </w:style>
  <w:style w:type="numbering" w:customStyle="1" w:styleId="WW8Num36">
    <w:name w:val="WW8Num36"/>
    <w:basedOn w:val="NoList"/>
    <w:pPr>
      <w:numPr>
        <w:numId w:val="42"/>
      </w:numPr>
    </w:pPr>
  </w:style>
  <w:style w:type="numbering" w:customStyle="1" w:styleId="WW8Num37">
    <w:name w:val="WW8Num37"/>
    <w:basedOn w:val="NoList"/>
    <w:pPr>
      <w:numPr>
        <w:numId w:val="43"/>
      </w:numPr>
    </w:pPr>
  </w:style>
  <w:style w:type="numbering" w:customStyle="1" w:styleId="WW8Num38">
    <w:name w:val="WW8Num38"/>
    <w:basedOn w:val="NoList"/>
    <w:pPr>
      <w:numPr>
        <w:numId w:val="44"/>
      </w:numPr>
    </w:pPr>
  </w:style>
  <w:style w:type="numbering" w:customStyle="1" w:styleId="WW8Num39">
    <w:name w:val="WW8Num39"/>
    <w:basedOn w:val="NoList"/>
    <w:pPr>
      <w:numPr>
        <w:numId w:val="45"/>
      </w:numPr>
    </w:pPr>
  </w:style>
  <w:style w:type="numbering" w:customStyle="1" w:styleId="WW8Num40">
    <w:name w:val="WW8Num40"/>
    <w:basedOn w:val="NoList"/>
    <w:pPr>
      <w:numPr>
        <w:numId w:val="46"/>
      </w:numPr>
    </w:pPr>
  </w:style>
  <w:style w:type="numbering" w:customStyle="1" w:styleId="WW8Num41">
    <w:name w:val="WW8Num41"/>
    <w:basedOn w:val="NoList"/>
    <w:pPr>
      <w:numPr>
        <w:numId w:val="47"/>
      </w:numPr>
    </w:pPr>
  </w:style>
  <w:style w:type="numbering" w:customStyle="1" w:styleId="WW8Num42">
    <w:name w:val="WW8Num42"/>
    <w:basedOn w:val="NoList"/>
    <w:pPr>
      <w:numPr>
        <w:numId w:val="48"/>
      </w:numPr>
    </w:pPr>
  </w:style>
  <w:style w:type="numbering" w:customStyle="1" w:styleId="WW8Num43">
    <w:name w:val="WW8Num43"/>
    <w:basedOn w:val="NoList"/>
    <w:pPr>
      <w:numPr>
        <w:numId w:val="49"/>
      </w:numPr>
    </w:pPr>
  </w:style>
  <w:style w:type="numbering" w:customStyle="1" w:styleId="WW8Num44">
    <w:name w:val="WW8Num44"/>
    <w:basedOn w:val="NoList"/>
    <w:pPr>
      <w:numPr>
        <w:numId w:val="50"/>
      </w:numPr>
    </w:pPr>
  </w:style>
  <w:style w:type="numbering" w:customStyle="1" w:styleId="WW8Num45">
    <w:name w:val="WW8Num45"/>
    <w:basedOn w:val="NoList"/>
    <w:pPr>
      <w:numPr>
        <w:numId w:val="51"/>
      </w:numPr>
    </w:pPr>
  </w:style>
  <w:style w:type="numbering" w:customStyle="1" w:styleId="WW8Num46">
    <w:name w:val="WW8Num46"/>
    <w:basedOn w:val="NoList"/>
    <w:pPr>
      <w:numPr>
        <w:numId w:val="52"/>
      </w:numPr>
    </w:pPr>
  </w:style>
  <w:style w:type="numbering" w:customStyle="1" w:styleId="WW8Num47">
    <w:name w:val="WW8Num47"/>
    <w:basedOn w:val="NoList"/>
    <w:pPr>
      <w:numPr>
        <w:numId w:val="53"/>
      </w:numPr>
    </w:pPr>
  </w:style>
  <w:style w:type="numbering" w:customStyle="1" w:styleId="WW8Num48">
    <w:name w:val="WW8Num48"/>
    <w:basedOn w:val="NoList"/>
    <w:pPr>
      <w:numPr>
        <w:numId w:val="54"/>
      </w:numPr>
    </w:pPr>
  </w:style>
  <w:style w:type="numbering" w:customStyle="1" w:styleId="WW8Num49">
    <w:name w:val="WW8Num49"/>
    <w:basedOn w:val="NoList"/>
    <w:pPr>
      <w:numPr>
        <w:numId w:val="55"/>
      </w:numPr>
    </w:pPr>
  </w:style>
  <w:style w:type="numbering" w:customStyle="1" w:styleId="WW8Num50">
    <w:name w:val="WW8Num50"/>
    <w:basedOn w:val="NoList"/>
    <w:pPr>
      <w:numPr>
        <w:numId w:val="56"/>
      </w:numPr>
    </w:pPr>
  </w:style>
  <w:style w:type="numbering" w:customStyle="1" w:styleId="WW8Num51">
    <w:name w:val="WW8Num51"/>
    <w:basedOn w:val="NoList"/>
    <w:pPr>
      <w:numPr>
        <w:numId w:val="57"/>
      </w:numPr>
    </w:pPr>
  </w:style>
  <w:style w:type="numbering" w:customStyle="1" w:styleId="WW8Num52">
    <w:name w:val="WW8Num52"/>
    <w:basedOn w:val="NoList"/>
    <w:pPr>
      <w:numPr>
        <w:numId w:val="58"/>
      </w:numPr>
    </w:pPr>
  </w:style>
  <w:style w:type="numbering" w:customStyle="1" w:styleId="WW8Num53">
    <w:name w:val="WW8Num53"/>
    <w:basedOn w:val="NoList"/>
    <w:pPr>
      <w:numPr>
        <w:numId w:val="59"/>
      </w:numPr>
    </w:pPr>
  </w:style>
  <w:style w:type="numbering" w:customStyle="1" w:styleId="WW8Num54">
    <w:name w:val="WW8Num54"/>
    <w:basedOn w:val="NoList"/>
    <w:pPr>
      <w:numPr>
        <w:numId w:val="60"/>
      </w:numPr>
    </w:pPr>
  </w:style>
  <w:style w:type="numbering" w:customStyle="1" w:styleId="WW8Num55">
    <w:name w:val="WW8Num55"/>
    <w:basedOn w:val="NoList"/>
    <w:pPr>
      <w:numPr>
        <w:numId w:val="61"/>
      </w:numPr>
    </w:pPr>
  </w:style>
  <w:style w:type="numbering" w:customStyle="1" w:styleId="WW8Num56">
    <w:name w:val="WW8Num56"/>
    <w:basedOn w:val="NoList"/>
    <w:pPr>
      <w:numPr>
        <w:numId w:val="62"/>
      </w:numPr>
    </w:pPr>
  </w:style>
  <w:style w:type="numbering" w:customStyle="1" w:styleId="WW8Num57">
    <w:name w:val="WW8Num57"/>
    <w:basedOn w:val="NoList"/>
    <w:pPr>
      <w:numPr>
        <w:numId w:val="63"/>
      </w:numPr>
    </w:pPr>
  </w:style>
  <w:style w:type="numbering" w:customStyle="1" w:styleId="WW8Num58">
    <w:name w:val="WW8Num58"/>
    <w:basedOn w:val="NoList"/>
    <w:pPr>
      <w:numPr>
        <w:numId w:val="64"/>
      </w:numPr>
    </w:pPr>
  </w:style>
  <w:style w:type="numbering" w:customStyle="1" w:styleId="WW8Num59">
    <w:name w:val="WW8Num59"/>
    <w:basedOn w:val="NoList"/>
    <w:pPr>
      <w:numPr>
        <w:numId w:val="65"/>
      </w:numPr>
    </w:pPr>
  </w:style>
  <w:style w:type="numbering" w:customStyle="1" w:styleId="WW8Num60">
    <w:name w:val="WW8Num60"/>
    <w:basedOn w:val="NoList"/>
    <w:pPr>
      <w:numPr>
        <w:numId w:val="66"/>
      </w:numPr>
    </w:pPr>
  </w:style>
  <w:style w:type="numbering" w:customStyle="1" w:styleId="WW8Num61">
    <w:name w:val="WW8Num61"/>
    <w:basedOn w:val="NoList"/>
    <w:pPr>
      <w:numPr>
        <w:numId w:val="67"/>
      </w:numPr>
    </w:pPr>
  </w:style>
  <w:style w:type="numbering" w:customStyle="1" w:styleId="WW8Num62">
    <w:name w:val="WW8Num62"/>
    <w:basedOn w:val="NoList"/>
    <w:pPr>
      <w:numPr>
        <w:numId w:val="68"/>
      </w:numPr>
    </w:pPr>
  </w:style>
  <w:style w:type="numbering" w:customStyle="1" w:styleId="WW8Num63">
    <w:name w:val="WW8Num63"/>
    <w:basedOn w:val="NoList"/>
    <w:pPr>
      <w:numPr>
        <w:numId w:val="69"/>
      </w:numPr>
    </w:pPr>
  </w:style>
  <w:style w:type="numbering" w:customStyle="1" w:styleId="WW8Num64">
    <w:name w:val="WW8Num64"/>
    <w:basedOn w:val="NoList"/>
    <w:pPr>
      <w:numPr>
        <w:numId w:val="70"/>
      </w:numPr>
    </w:pPr>
  </w:style>
  <w:style w:type="numbering" w:customStyle="1" w:styleId="WW8Num65">
    <w:name w:val="WW8Num65"/>
    <w:basedOn w:val="NoList"/>
    <w:pPr>
      <w:numPr>
        <w:numId w:val="71"/>
      </w:numPr>
    </w:pPr>
  </w:style>
  <w:style w:type="numbering" w:customStyle="1" w:styleId="WW8Num66">
    <w:name w:val="WW8Num66"/>
    <w:basedOn w:val="NoList"/>
    <w:pPr>
      <w:numPr>
        <w:numId w:val="72"/>
      </w:numPr>
    </w:pPr>
  </w:style>
  <w:style w:type="numbering" w:customStyle="1" w:styleId="WW8Num67">
    <w:name w:val="WW8Num67"/>
    <w:basedOn w:val="NoList"/>
    <w:pPr>
      <w:numPr>
        <w:numId w:val="73"/>
      </w:numPr>
    </w:pPr>
  </w:style>
  <w:style w:type="numbering" w:customStyle="1" w:styleId="WW8Num68">
    <w:name w:val="WW8Num68"/>
    <w:basedOn w:val="NoList"/>
    <w:pPr>
      <w:numPr>
        <w:numId w:val="74"/>
      </w:numPr>
    </w:pPr>
  </w:style>
  <w:style w:type="numbering" w:customStyle="1" w:styleId="WW8Num69">
    <w:name w:val="WW8Num69"/>
    <w:basedOn w:val="NoList"/>
    <w:pPr>
      <w:numPr>
        <w:numId w:val="75"/>
      </w:numPr>
    </w:pPr>
  </w:style>
  <w:style w:type="numbering" w:customStyle="1" w:styleId="WW8Num70">
    <w:name w:val="WW8Num70"/>
    <w:basedOn w:val="NoList"/>
    <w:pPr>
      <w:numPr>
        <w:numId w:val="76"/>
      </w:numPr>
    </w:pPr>
  </w:style>
  <w:style w:type="numbering" w:customStyle="1" w:styleId="WW8Num71">
    <w:name w:val="WW8Num71"/>
    <w:basedOn w:val="NoList"/>
    <w:pPr>
      <w:numPr>
        <w:numId w:val="77"/>
      </w:numPr>
    </w:pPr>
  </w:style>
  <w:style w:type="numbering" w:customStyle="1" w:styleId="WW8Num72">
    <w:name w:val="WW8Num72"/>
    <w:basedOn w:val="NoList"/>
    <w:pPr>
      <w:numPr>
        <w:numId w:val="78"/>
      </w:numPr>
    </w:pPr>
  </w:style>
  <w:style w:type="numbering" w:customStyle="1" w:styleId="WW8Num73">
    <w:name w:val="WW8Num73"/>
    <w:basedOn w:val="NoList"/>
    <w:pPr>
      <w:numPr>
        <w:numId w:val="79"/>
      </w:numPr>
    </w:pPr>
  </w:style>
  <w:style w:type="numbering" w:customStyle="1" w:styleId="WW8Num74">
    <w:name w:val="WW8Num74"/>
    <w:basedOn w:val="NoList"/>
    <w:pPr>
      <w:numPr>
        <w:numId w:val="80"/>
      </w:numPr>
    </w:pPr>
  </w:style>
  <w:style w:type="numbering" w:customStyle="1" w:styleId="WW8Num75">
    <w:name w:val="WW8Num75"/>
    <w:basedOn w:val="NoList"/>
    <w:pPr>
      <w:numPr>
        <w:numId w:val="81"/>
      </w:numPr>
    </w:pPr>
  </w:style>
  <w:style w:type="numbering" w:customStyle="1" w:styleId="WW8Num76">
    <w:name w:val="WW8Num76"/>
    <w:basedOn w:val="NoList"/>
    <w:pPr>
      <w:numPr>
        <w:numId w:val="82"/>
      </w:numPr>
    </w:pPr>
  </w:style>
  <w:style w:type="numbering" w:customStyle="1" w:styleId="WW8Num77">
    <w:name w:val="WW8Num77"/>
    <w:basedOn w:val="NoList"/>
    <w:pPr>
      <w:numPr>
        <w:numId w:val="83"/>
      </w:numPr>
    </w:pPr>
  </w:style>
  <w:style w:type="numbering" w:customStyle="1" w:styleId="WW8Num78">
    <w:name w:val="WW8Num78"/>
    <w:basedOn w:val="NoList"/>
    <w:pPr>
      <w:numPr>
        <w:numId w:val="84"/>
      </w:numPr>
    </w:pPr>
  </w:style>
  <w:style w:type="numbering" w:customStyle="1" w:styleId="WW8Num79">
    <w:name w:val="WW8Num79"/>
    <w:basedOn w:val="NoList"/>
    <w:pPr>
      <w:numPr>
        <w:numId w:val="85"/>
      </w:numPr>
    </w:pPr>
  </w:style>
  <w:style w:type="numbering" w:customStyle="1" w:styleId="WW8Num80">
    <w:name w:val="WW8Num80"/>
    <w:basedOn w:val="NoList"/>
    <w:pPr>
      <w:numPr>
        <w:numId w:val="86"/>
      </w:numPr>
    </w:pPr>
  </w:style>
  <w:style w:type="numbering" w:customStyle="1" w:styleId="WW8Num81">
    <w:name w:val="WW8Num81"/>
    <w:basedOn w:val="NoList"/>
    <w:pPr>
      <w:numPr>
        <w:numId w:val="87"/>
      </w:numPr>
    </w:pPr>
  </w:style>
  <w:style w:type="numbering" w:customStyle="1" w:styleId="WW8Num82">
    <w:name w:val="WW8Num82"/>
    <w:basedOn w:val="NoList"/>
    <w:pPr>
      <w:numPr>
        <w:numId w:val="88"/>
      </w:numPr>
    </w:pPr>
  </w:style>
  <w:style w:type="numbering" w:customStyle="1" w:styleId="WW8Num83">
    <w:name w:val="WW8Num83"/>
    <w:basedOn w:val="NoList"/>
    <w:pPr>
      <w:numPr>
        <w:numId w:val="89"/>
      </w:numPr>
    </w:pPr>
  </w:style>
  <w:style w:type="numbering" w:customStyle="1" w:styleId="WW8Num84">
    <w:name w:val="WW8Num84"/>
    <w:basedOn w:val="NoList"/>
    <w:pPr>
      <w:numPr>
        <w:numId w:val="90"/>
      </w:numPr>
    </w:pPr>
  </w:style>
  <w:style w:type="numbering" w:customStyle="1" w:styleId="WW8Num85">
    <w:name w:val="WW8Num85"/>
    <w:basedOn w:val="NoList"/>
    <w:pPr>
      <w:numPr>
        <w:numId w:val="91"/>
      </w:numPr>
    </w:pPr>
  </w:style>
  <w:style w:type="numbering" w:customStyle="1" w:styleId="WW8Num86">
    <w:name w:val="WW8Num86"/>
    <w:basedOn w:val="NoList"/>
    <w:pPr>
      <w:numPr>
        <w:numId w:val="92"/>
      </w:numPr>
    </w:pPr>
  </w:style>
  <w:style w:type="numbering" w:customStyle="1" w:styleId="WW8Num87">
    <w:name w:val="WW8Num87"/>
    <w:basedOn w:val="NoList"/>
    <w:pPr>
      <w:numPr>
        <w:numId w:val="93"/>
      </w:numPr>
    </w:pPr>
  </w:style>
  <w:style w:type="numbering" w:customStyle="1" w:styleId="WW8Num88">
    <w:name w:val="WW8Num88"/>
    <w:basedOn w:val="NoList"/>
    <w:pPr>
      <w:numPr>
        <w:numId w:val="94"/>
      </w:numPr>
    </w:pPr>
  </w:style>
  <w:style w:type="numbering" w:customStyle="1" w:styleId="WW8Num89">
    <w:name w:val="WW8Num89"/>
    <w:basedOn w:val="NoList"/>
    <w:pPr>
      <w:numPr>
        <w:numId w:val="95"/>
      </w:numPr>
    </w:pPr>
  </w:style>
  <w:style w:type="numbering" w:customStyle="1" w:styleId="WW8Num90">
    <w:name w:val="WW8Num90"/>
    <w:basedOn w:val="NoList"/>
    <w:pPr>
      <w:numPr>
        <w:numId w:val="96"/>
      </w:numPr>
    </w:pPr>
  </w:style>
  <w:style w:type="numbering" w:customStyle="1" w:styleId="WW8Num91">
    <w:name w:val="WW8Num91"/>
    <w:basedOn w:val="NoList"/>
    <w:pPr>
      <w:numPr>
        <w:numId w:val="97"/>
      </w:numPr>
    </w:pPr>
  </w:style>
  <w:style w:type="numbering" w:customStyle="1" w:styleId="WW8Num92">
    <w:name w:val="WW8Num92"/>
    <w:basedOn w:val="NoList"/>
    <w:pPr>
      <w:numPr>
        <w:numId w:val="98"/>
      </w:numPr>
    </w:pPr>
  </w:style>
  <w:style w:type="numbering" w:customStyle="1" w:styleId="WW8Num93">
    <w:name w:val="WW8Num93"/>
    <w:basedOn w:val="NoList"/>
    <w:pPr>
      <w:numPr>
        <w:numId w:val="99"/>
      </w:numPr>
    </w:pPr>
  </w:style>
  <w:style w:type="numbering" w:customStyle="1" w:styleId="WW8Num94">
    <w:name w:val="WW8Num94"/>
    <w:basedOn w:val="NoList"/>
    <w:pPr>
      <w:numPr>
        <w:numId w:val="100"/>
      </w:numPr>
    </w:pPr>
  </w:style>
  <w:style w:type="numbering" w:customStyle="1" w:styleId="WW8Num95">
    <w:name w:val="WW8Num95"/>
    <w:basedOn w:val="NoList"/>
    <w:pPr>
      <w:numPr>
        <w:numId w:val="101"/>
      </w:numPr>
    </w:pPr>
  </w:style>
  <w:style w:type="numbering" w:customStyle="1" w:styleId="WW8Num96">
    <w:name w:val="WW8Num96"/>
    <w:basedOn w:val="NoList"/>
    <w:pPr>
      <w:numPr>
        <w:numId w:val="102"/>
      </w:numPr>
    </w:pPr>
  </w:style>
  <w:style w:type="numbering" w:customStyle="1" w:styleId="WW8Num97">
    <w:name w:val="WW8Num97"/>
    <w:basedOn w:val="NoList"/>
    <w:pPr>
      <w:numPr>
        <w:numId w:val="103"/>
      </w:numPr>
    </w:pPr>
  </w:style>
  <w:style w:type="numbering" w:customStyle="1" w:styleId="WW8Num98">
    <w:name w:val="WW8Num98"/>
    <w:basedOn w:val="NoList"/>
    <w:pPr>
      <w:numPr>
        <w:numId w:val="104"/>
      </w:numPr>
    </w:pPr>
  </w:style>
  <w:style w:type="numbering" w:customStyle="1" w:styleId="WW8Num99">
    <w:name w:val="WW8Num99"/>
    <w:basedOn w:val="NoList"/>
    <w:pPr>
      <w:numPr>
        <w:numId w:val="105"/>
      </w:numPr>
    </w:pPr>
  </w:style>
  <w:style w:type="numbering" w:customStyle="1" w:styleId="AppendixNumbering">
    <w:name w:val="AppendixNumbering"/>
    <w:basedOn w:val="NoList"/>
    <w:pPr>
      <w:numPr>
        <w:numId w:val="106"/>
      </w:numPr>
    </w:pPr>
  </w:style>
  <w:style w:type="numbering" w:customStyle="1" w:styleId="AppendixNumTry1">
    <w:name w:val="AppendixNumTry1"/>
    <w:basedOn w:val="NoList"/>
    <w:pPr>
      <w:numPr>
        <w:numId w:val="107"/>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sans-serif" w:hAnsi="Arial, sans-serif" w:cs="Arial, sans-serif"/>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asis-open.org/committees/emergency/" TargetMode="External"/><Relationship Id="rId13" Type="http://schemas.openxmlformats.org/officeDocument/2006/relationships/hyperlink" Target="http://docs.oasis-open.org/emergency/edxl-ct/v1.0/edxl-ct-v1.0.html" TargetMode="External"/><Relationship Id="rId18" Type="http://schemas.openxmlformats.org/officeDocument/2006/relationships/hyperlink" Target="http://www.oasis-open.org/committees/process.php" TargetMode="External"/><Relationship Id="rId26" Type="http://schemas.openxmlformats.org/officeDocument/2006/relationships/hyperlink" Target="http://docs.oasis-open.org/emergency/edxl-ct/v1.0/csd01/" TargetMode="External"/><Relationship Id="rId3" Type="http://schemas.microsoft.com/office/2007/relationships/stylesWithEffects" Target="stylesWithEffects.xml"/><Relationship Id="rId21" Type="http://schemas.openxmlformats.org/officeDocument/2006/relationships/hyperlink" Target="http://www.ietf.org/rfc/rfc3066.tx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oasis-open.org/emergency/edxl-rm/v1.0/errata/EDXL-RM-v1.0-OS-errata-os.html" TargetMode="External"/><Relationship Id="rId17" Type="http://schemas.openxmlformats.org/officeDocument/2006/relationships/hyperlink" Target="http://www.oasis-open.org/committees/process.php" TargetMode="External"/><Relationship Id="rId25" Type="http://schemas.openxmlformats.org/officeDocument/2006/relationships/hyperlink" Target="http://docs.oasis-open.org/emergency/edxl-ciq/v1.0/csd0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asis-open.org/committees/process.php" TargetMode="External"/><Relationship Id="rId20" Type="http://schemas.openxmlformats.org/officeDocument/2006/relationships/footer" Target="footer1.xml"/><Relationship Id="rId29" Type="http://schemas.openxmlformats.org/officeDocument/2006/relationships/hyperlink" Target="http://www.oasis-open.org/committees/document.php?document_id=14120&amp;wg_abbrev=emergen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m.com/" TargetMode="External"/><Relationship Id="rId24" Type="http://schemas.openxmlformats.org/officeDocument/2006/relationships/hyperlink" Target="http://www.w3.org/TR/xlink1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oasis-open.org/emergency/ns/edxl-tep/v1.0" TargetMode="External"/><Relationship Id="rId23" Type="http://schemas.openxmlformats.org/officeDocument/2006/relationships/hyperlink" Target="http://www.w3.org/TR/xmlschema-2/" TargetMode="External"/><Relationship Id="rId28" Type="http://schemas.openxmlformats.org/officeDocument/2006/relationships/hyperlink" Target="http://www.oasis-open.org/committees/document.php?document_id=10031&amp;wg_abbrev=emergency" TargetMode="External"/><Relationship Id="rId10" Type="http://schemas.openxmlformats.org/officeDocument/2006/relationships/hyperlink" Target="mailto:Werner.Joerg@iem.com" TargetMode="External"/><Relationship Id="rId19" Type="http://schemas.openxmlformats.org/officeDocument/2006/relationships/hyperlink" Target="http://www.oasis-open.org/policies-guidelines/ip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ysajones@yahoo.com" TargetMode="External"/><Relationship Id="rId14" Type="http://schemas.openxmlformats.org/officeDocument/2006/relationships/hyperlink" Target="http://docs.oasis-open.org/emergency/edxl-ciq/v1.0/edxl-ciq-v1.0.html" TargetMode="External"/><Relationship Id="rId22" Type="http://schemas.openxmlformats.org/officeDocument/2006/relationships/hyperlink" Target="http://earth-info.nga.mil/GandG/publications/tr8350.2/tr8350_2.html" TargetMode="External"/><Relationship Id="rId27" Type="http://schemas.openxmlformats.org/officeDocument/2006/relationships/hyperlink" Target="http://docs.oasis-open.org/emergency/edxl-gsf/v1.0/csd01/" TargetMode="External"/><Relationship Id="rId30"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votec\EDXL%20Project\EDXL-TEC-ClientTracking\Requirements&amp;Spec\StandardsTrackFrontMatter-v1.08.odt\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StandardsTrackFrontMatter-kim-feb3.dot</Template>
  <TotalTime>33</TotalTime>
  <Pages>1</Pages>
  <Words>6926</Words>
  <Characters>39483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Emergency Data Exchange Language (EDXL) Tracking of Emergency Patients (TEP) Version 1.0</vt:lpstr>
    </vt:vector>
  </TitlesOfParts>
  <Company> </Company>
  <LinksUpToDate>false</LinksUpToDate>
  <CharactersWithSpaces>46317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Data Exchange Language (EDXL) Tracking of Emergency Patients (TEP) Version 1.0</dc:title>
  <dc:creator>OASIS Emergency Management TC</dc:creator>
  <dc:description>Short Abstract</dc:description>
  <cp:lastModifiedBy> Timothy Grapes - SE Solutions</cp:lastModifiedBy>
  <cp:revision>12</cp:revision>
  <cp:lastPrinted>2011-08-12T14:26:00Z</cp:lastPrinted>
  <dcterms:created xsi:type="dcterms:W3CDTF">2012-08-18T20:32:00Z</dcterms:created>
  <dcterms:modified xsi:type="dcterms:W3CDTF">2012-08-18T21:05:00Z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1">
    <vt:lpwstr>Werner Joerg</vt:lpwstr>
  </property>
  <property fmtid="{D5CDD505-2E9C-101B-9397-08002B2CF9AE}" pid="3" name="Editor #2">
    <vt:lpwstr>Editor #2 name</vt:lpwstr>
  </property>
  <property fmtid="{D5CDD505-2E9C-101B-9397-08002B2CF9AE}" pid="4" name="TC Chair">
    <vt:lpwstr>Elysa Jones</vt:lpwstr>
  </property>
  <property fmtid="{D5CDD505-2E9C-101B-9397-08002B2CF9AE}" pid="5" name="TC Name">
    <vt:lpwstr>OASIS Emergency Management TC</vt:lpwstr>
  </property>
  <property fmtid="{D5CDD505-2E9C-101B-9397-08002B2CF9AE}" pid="6" name="Title">
    <vt:lpwstr>Emergency Data Exchange Language (EDXL)Tracking of Emergency Patients (TEP) Version 1.0</vt:lpwstr>
  </property>
  <property fmtid="{D5CDD505-2E9C-101B-9397-08002B2CF9AE}" pid="7" name="WP abbreviation">
    <vt:lpwstr>edxl-tep-v1.0</vt:lpwstr>
  </property>
  <property fmtid="{D5CDD505-2E9C-101B-9397-08002B2CF9AE}" pid="8" name="namespace">
    <vt:lpwstr>namespace link</vt:lpwstr>
  </property>
</Properties>
</file>