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72" w:rsidRPr="00F76C73" w:rsidRDefault="00620172" w:rsidP="00F76C73">
      <w:pPr>
        <w:spacing w:before="100" w:beforeAutospacing="1" w:after="100" w:afterAutospacing="1"/>
        <w:jc w:val="center"/>
        <w:rPr>
          <w:b/>
        </w:rPr>
      </w:pPr>
      <w:r w:rsidRPr="00F76C73">
        <w:rPr>
          <w:b/>
        </w:rPr>
        <w:t>Legislative Subcommittee meeting May 21, 2014</w:t>
      </w:r>
    </w:p>
    <w:p w:rsidR="00620172" w:rsidRDefault="00620172" w:rsidP="00620172">
      <w:pPr>
        <w:spacing w:before="100" w:beforeAutospacing="1" w:after="100" w:afterAutospacing="1"/>
      </w:pPr>
      <w:r w:rsidRPr="00F76C73">
        <w:rPr>
          <w:b/>
        </w:rPr>
        <w:t>Luxembourg</w:t>
      </w:r>
      <w:r>
        <w:t>: Difficult to cite to a certain point in time. This is manual work, and very difficult. Otherwise, drafting URI’s is fairly simple. Currently, Luxembourg is using ELI for its standard.</w:t>
      </w:r>
    </w:p>
    <w:p w:rsidR="00620172" w:rsidRDefault="00620172" w:rsidP="00620172">
      <w:pPr>
        <w:spacing w:before="100" w:beforeAutospacing="1" w:after="100" w:afterAutospacing="1"/>
      </w:pPr>
      <w:r w:rsidRPr="00F76C73">
        <w:rPr>
          <w:b/>
        </w:rPr>
        <w:t>UK:</w:t>
      </w:r>
      <w:r>
        <w:t xml:space="preserve"> the UK presents an example of a functioning system. The URI is drafted at the abstract level, with no point in time reference. It is presumed that 95% of users want the current point in time, and the link is, therefore, resolved to the current point in time.</w:t>
      </w:r>
    </w:p>
    <w:p w:rsidR="00620172" w:rsidRDefault="00620172" w:rsidP="00620172">
      <w:pPr>
        <w:spacing w:before="100" w:beforeAutospacing="1" w:after="100" w:afterAutospacing="1"/>
      </w:pPr>
      <w:r w:rsidRPr="00F76C73">
        <w:rPr>
          <w:b/>
        </w:rPr>
        <w:t>Italy:</w:t>
      </w:r>
      <w:r>
        <w:t xml:space="preserve"> Monica indicates the importance of vagueness and being able to build a query into the URI – for example </w:t>
      </w:r>
      <w:r w:rsidR="00F76C73">
        <w:t>if user doesn’t know point in time of document</w:t>
      </w:r>
      <w:r>
        <w:t xml:space="preserve">. </w:t>
      </w:r>
    </w:p>
    <w:p w:rsidR="00F76C73" w:rsidRDefault="00F76C73" w:rsidP="00620172">
      <w:pPr>
        <w:spacing w:before="100" w:beforeAutospacing="1" w:after="100" w:afterAutospacing="1"/>
      </w:pPr>
      <w:r>
        <w:tab/>
        <w:t xml:space="preserve">Notice Monica’s </w:t>
      </w:r>
      <w:r w:rsidR="009345A9">
        <w:t xml:space="preserve">Italy use case </w:t>
      </w:r>
      <w:r>
        <w:t>example includes a correction to the Gazzette. This URI cannot be left vague, and must include a page number. This is important for us to think about from the technical perspective.</w:t>
      </w:r>
    </w:p>
    <w:p w:rsidR="00F76C73" w:rsidRDefault="00F76C73" w:rsidP="00620172">
      <w:pPr>
        <w:spacing w:before="100" w:beforeAutospacing="1" w:after="100" w:afterAutospacing="1"/>
      </w:pPr>
      <w:r>
        <w:tab/>
        <w:t xml:space="preserve">Also, John Dann knows Nando from Italy who ran an experiment to put ELI on top of URN-LEX references in the Italian legislation. </w:t>
      </w:r>
      <w:r w:rsidR="009345A9">
        <w:t>This is a</w:t>
      </w:r>
      <w:r>
        <w:t>n interesting experiment to have two references.</w:t>
      </w:r>
    </w:p>
    <w:p w:rsidR="00F76C73" w:rsidRDefault="00F76C73" w:rsidP="00620172">
      <w:pPr>
        <w:spacing w:before="100" w:beforeAutospacing="1" w:after="100" w:afterAutospacing="1"/>
      </w:pPr>
      <w:r w:rsidRPr="00F76C73">
        <w:rPr>
          <w:b/>
        </w:rPr>
        <w:t>US:</w:t>
      </w:r>
      <w:r>
        <w:t xml:space="preserve"> Melanie knows examples from</w:t>
      </w:r>
      <w:r w:rsidR="009345A9">
        <w:t xml:space="preserve"> user side not technical side. She w</w:t>
      </w:r>
      <w:r>
        <w:t xml:space="preserve">ill contact someone at GPO to </w:t>
      </w:r>
      <w:r w:rsidR="009345A9">
        <w:t>ask</w:t>
      </w:r>
      <w:r>
        <w:t xml:space="preserve"> </w:t>
      </w:r>
      <w:r w:rsidR="009345A9">
        <w:t>for</w:t>
      </w:r>
      <w:r>
        <w:t xml:space="preserve"> </w:t>
      </w:r>
      <w:r w:rsidR="009345A9">
        <w:t>their</w:t>
      </w:r>
      <w:r>
        <w:t xml:space="preserve"> Schema so we can better understand each component of the URL. </w:t>
      </w:r>
    </w:p>
    <w:p w:rsidR="00F76C73" w:rsidRDefault="00F76C73" w:rsidP="00620172">
      <w:pPr>
        <w:spacing w:before="100" w:beforeAutospacing="1" w:after="100" w:afterAutospacing="1"/>
      </w:pPr>
      <w:r>
        <w:tab/>
        <w:t>Melanie explained:</w:t>
      </w:r>
    </w:p>
    <w:p w:rsidR="00F76C73" w:rsidRDefault="00F76C73" w:rsidP="00620172">
      <w:pPr>
        <w:spacing w:before="100" w:beforeAutospacing="1" w:after="100" w:afterAutospacing="1"/>
      </w:pPr>
      <w:r>
        <w:tab/>
        <w:t>The US Code is a point in time. Sometimes, sections or chapters are repealed and filled with new material on a completely new subject (Monica says this is like Switzerland’s code and presents interesting technical challenges).</w:t>
      </w:r>
    </w:p>
    <w:p w:rsidR="00F76C73" w:rsidRDefault="00F76C73" w:rsidP="00620172">
      <w:pPr>
        <w:spacing w:before="100" w:beforeAutospacing="1" w:after="100" w:afterAutospacing="1"/>
      </w:pPr>
      <w:r>
        <w:tab/>
        <w:t>Als</w:t>
      </w:r>
      <w:r w:rsidR="009345A9">
        <w:t>o, each Public Law is broken up. I</w:t>
      </w:r>
      <w:r>
        <w:t>ts sections are codified in many places in the US Code, i.e., not together. That is why U.S. users still refer to the original Public Law – so that they can see the law in its entirety before codification</w:t>
      </w:r>
      <w:r w:rsidR="009345A9">
        <w:t>. A</w:t>
      </w:r>
      <w:r>
        <w:t xml:space="preserve">nd because if a section of the Code is repealed, we can’t see </w:t>
      </w:r>
      <w:r w:rsidR="009345A9">
        <w:t xml:space="preserve">the law anymore, </w:t>
      </w:r>
      <w:r>
        <w:t xml:space="preserve">and </w:t>
      </w:r>
      <w:r w:rsidR="009345A9">
        <w:t xml:space="preserve">we </w:t>
      </w:r>
      <w:r>
        <w:t>need to go back to the original public law</w:t>
      </w:r>
      <w:r w:rsidR="009345A9">
        <w:t xml:space="preserve"> which is static</w:t>
      </w:r>
      <w:r>
        <w:t>.</w:t>
      </w:r>
    </w:p>
    <w:p w:rsidR="00F76C73" w:rsidRDefault="00F76C73" w:rsidP="00620172">
      <w:pPr>
        <w:spacing w:before="100" w:beforeAutospacing="1" w:after="100" w:afterAutospacing="1"/>
      </w:pPr>
      <w:r>
        <w:tab/>
        <w:t>Melanie will add a few more simple examples, like the U.S. Constitution, and an example of a mistake that is corrected.</w:t>
      </w:r>
    </w:p>
    <w:p w:rsidR="00F76C73" w:rsidRDefault="00F76C73" w:rsidP="00620172">
      <w:pPr>
        <w:spacing w:before="100" w:beforeAutospacing="1" w:after="100" w:afterAutospacing="1"/>
      </w:pPr>
      <w:r w:rsidRPr="009345A9">
        <w:rPr>
          <w:b/>
        </w:rPr>
        <w:t>NEXT:</w:t>
      </w:r>
      <w:r>
        <w:t xml:space="preserve"> Monica will add our use cases to the TC Wiki.</w:t>
      </w:r>
    </w:p>
    <w:p w:rsidR="00F76C73" w:rsidRDefault="00F76C73" w:rsidP="00620172">
      <w:pPr>
        <w:spacing w:before="100" w:beforeAutospacing="1" w:after="100" w:afterAutospacing="1"/>
      </w:pPr>
      <w:r w:rsidRPr="009345A9">
        <w:rPr>
          <w:b/>
        </w:rPr>
        <w:t>NEXT MEETING:</w:t>
      </w:r>
      <w:r>
        <w:t xml:space="preserve"> June 4 at same time as usual (after full TC meeting)</w:t>
      </w:r>
    </w:p>
    <w:p w:rsidR="00F76C73" w:rsidRDefault="00F76C73" w:rsidP="00620172">
      <w:pPr>
        <w:spacing w:before="100" w:beforeAutospacing="1" w:after="100" w:afterAutospacing="1"/>
      </w:pPr>
    </w:p>
    <w:p w:rsidR="00620172" w:rsidRDefault="00620172" w:rsidP="00620172">
      <w:pPr>
        <w:spacing w:before="100" w:beforeAutospacing="1" w:after="100" w:afterAutospacing="1"/>
      </w:pPr>
    </w:p>
    <w:p w:rsidR="00620172" w:rsidRPr="009345A9" w:rsidRDefault="00620172" w:rsidP="00620172">
      <w:pPr>
        <w:spacing w:before="100" w:beforeAutospacing="1" w:after="100" w:afterAutospacing="1"/>
        <w:rPr>
          <w:b/>
        </w:rPr>
      </w:pPr>
      <w:r w:rsidRPr="009345A9">
        <w:rPr>
          <w:b/>
        </w:rPr>
        <w:t>SKYPE CHAT</w:t>
      </w:r>
    </w:p>
    <w:p w:rsidR="00620172" w:rsidRDefault="00620172" w:rsidP="00620172">
      <w:pPr>
        <w:spacing w:before="100" w:beforeAutospacing="1" w:after="100" w:afterAutospacing="1"/>
      </w:pPr>
      <w:r>
        <w:t>- ELI, URN:LEX, Akoma Ntoso: all those mechanism include point-in-time, static reference, versioning, original reference, abstract reference</w:t>
      </w:r>
    </w:p>
    <w:p w:rsidR="00620172" w:rsidRDefault="00620172" w:rsidP="00620172">
      <w:pPr>
        <w:spacing w:before="100" w:beforeAutospacing="1" w:after="100" w:afterAutospacing="1"/>
      </w:pPr>
      <w:r>
        <w:t>[11:26:10 AM] Monica Palmirani: multilingual</w:t>
      </w:r>
    </w:p>
    <w:p w:rsidR="00620172" w:rsidRDefault="00620172" w:rsidP="00620172">
      <w:pPr>
        <w:spacing w:before="100" w:beforeAutospacing="1" w:after="100" w:afterAutospacing="1"/>
      </w:pPr>
      <w:r>
        <w:t xml:space="preserve">[11:29:07 AM] Monica Palmirani: </w:t>
      </w:r>
      <w:hyperlink r:id="rId7" w:history="1">
        <w:r>
          <w:rPr>
            <w:rStyle w:val="Hyperlink"/>
          </w:rPr>
          <w:t>http://www.gpo.gov/fdsys/granule/USCODE-2012-title4/USCODE-2012-title4-chap1-sec1/mods.xml</w:t>
        </w:r>
      </w:hyperlink>
    </w:p>
    <w:p w:rsidR="00620172" w:rsidRDefault="00620172" w:rsidP="00620172">
      <w:pPr>
        <w:spacing w:before="100" w:beforeAutospacing="1" w:after="100" w:afterAutospacing="1"/>
      </w:pPr>
      <w:r>
        <w:t>[11:29:12 AM | Edited 11:29:26 AM] Monica Palmirani: this is the metamodel for the meta data</w:t>
      </w:r>
    </w:p>
    <w:p w:rsidR="00620172" w:rsidRDefault="00620172" w:rsidP="00620172">
      <w:pPr>
        <w:spacing w:before="100" w:beforeAutospacing="1" w:after="100" w:afterAutospacing="1"/>
      </w:pPr>
      <w:r>
        <w:t>[11:31:32 AM] Monica Palmirani: how the jurisdiction impact on the normative references?</w:t>
      </w:r>
    </w:p>
    <w:p w:rsidR="00620172" w:rsidRDefault="00620172" w:rsidP="00620172">
      <w:pPr>
        <w:spacing w:before="100" w:beforeAutospacing="1" w:after="100" w:afterAutospacing="1"/>
      </w:pPr>
      <w:r>
        <w:t xml:space="preserve">[11:32:16 AM] Monica Palmirani: </w:t>
      </w:r>
      <w:hyperlink r:id="rId8" w:history="1">
        <w:r>
          <w:rPr>
            <w:rStyle w:val="Hyperlink"/>
          </w:rPr>
          <w:t>http://www.legislation.gov.uk/id/{type}/{year}/{number}[/{section}]</w:t>
        </w:r>
      </w:hyperlink>
    </w:p>
    <w:p w:rsidR="00620172" w:rsidRDefault="00620172" w:rsidP="00620172">
      <w:pPr>
        <w:spacing w:before="100" w:beforeAutospacing="1" w:after="100" w:afterAutospacing="1"/>
      </w:pPr>
      <w:r>
        <w:t xml:space="preserve">[11:32:57 AM] Monica Palmirani: </w:t>
      </w:r>
      <w:hyperlink r:id="rId9" w:history="1">
        <w:r>
          <w:rPr>
            <w:rStyle w:val="Hyperlink"/>
          </w:rPr>
          <w:t>http://www.legislation.gov.uk/ukpga/2013/29/section/235</w:t>
        </w:r>
      </w:hyperlink>
    </w:p>
    <w:p w:rsidR="00620172" w:rsidRDefault="00620172" w:rsidP="00620172">
      <w:pPr>
        <w:spacing w:before="100" w:beforeAutospacing="1" w:after="100" w:afterAutospacing="1"/>
      </w:pPr>
      <w:r>
        <w:t>[11:39:52 AM] Monica Palmirani: 2010-Pub. L. 111–175, title I, §§102(a)(2), 103(a)(2), 104(a)(2), May 27, 2010, 124 Stat. 1219, 1227, 1231, added items 111, 119, and 122 and struck out former items 111 “Limitations on exclusive rights: Secondary transmissions”, 119 “Limitations on exclusive rights: Secondary transmissions of superstations and network stations for private home viewing”, and 122 “Limitations on exclusive rights: Secondary transmissions by satellite carriers within local markets”.</w:t>
      </w:r>
    </w:p>
    <w:p w:rsidR="00620172" w:rsidRDefault="00620172" w:rsidP="00620172">
      <w:pPr>
        <w:spacing w:before="100" w:beforeAutospacing="1" w:after="100" w:afterAutospacing="1"/>
      </w:pPr>
      <w:r>
        <w:t xml:space="preserve">[11:40:10 AM] Monica Palmirani: </w:t>
      </w:r>
      <w:hyperlink r:id="rId10" w:history="1">
        <w:r>
          <w:rPr>
            <w:rStyle w:val="Hyperlink"/>
          </w:rPr>
          <w:t>http://uscode.house.gov/browse/prelim@title17/chapter1&amp;edition=prelim</w:t>
        </w:r>
      </w:hyperlink>
    </w:p>
    <w:p w:rsidR="00620172" w:rsidRDefault="00620172" w:rsidP="00620172">
      <w:pPr>
        <w:spacing w:before="100" w:beforeAutospacing="1" w:after="100" w:afterAutospacing="1"/>
      </w:pPr>
      <w:r>
        <w:t>[11:40:51 AM] Monica Palmirani: Pub. L. 100–568, §4(b)(2), Oct. 31, 1988, 102 Stat. 2857, substituted “Compulsory licenses for public performances” for “Public performances” in item 116 and added item 116A.</w:t>
      </w:r>
    </w:p>
    <w:p w:rsidR="00620172" w:rsidRDefault="00620172" w:rsidP="00620172">
      <w:pPr>
        <w:spacing w:before="100" w:beforeAutospacing="1" w:after="100" w:afterAutospacing="1"/>
      </w:pPr>
      <w:r>
        <w:t>[11:41:15 AM] Monica Palmirani: June 4th next time</w:t>
      </w:r>
    </w:p>
    <w:p w:rsidR="00620172" w:rsidRDefault="00620172" w:rsidP="00620172">
      <w:pPr>
        <w:spacing w:before="100" w:beforeAutospacing="1" w:after="100" w:afterAutospacing="1"/>
      </w:pPr>
      <w:r>
        <w:t>[11:45:41 AM] Monica Palmirani: chapter could be repealed and resued for another topic</w:t>
      </w:r>
    </w:p>
    <w:p w:rsidR="00620172" w:rsidRDefault="00620172" w:rsidP="00620172">
      <w:pPr>
        <w:spacing w:before="100" w:beforeAutospacing="1" w:after="100" w:afterAutospacing="1"/>
      </w:pPr>
      <w:r>
        <w:t>[11:47:03 AM] Monica Palmirani: US code reuses empty chapter</w:t>
      </w:r>
    </w:p>
    <w:p w:rsidR="00620172" w:rsidRDefault="00620172" w:rsidP="00620172">
      <w:pPr>
        <w:spacing w:before="100" w:beforeAutospacing="1" w:after="100" w:afterAutospacing="1"/>
      </w:pPr>
      <w:r>
        <w:t>[11:48:35 AM | Edited 11:48:59 AM] Monica Palmirani: Errata Corrige "In the legislative decree cited in the title, published in the above mentioned regular series, are applied the following modifications:</w:t>
      </w:r>
    </w:p>
    <w:p w:rsidR="00620172" w:rsidRDefault="00620172" w:rsidP="00620172">
      <w:pPr>
        <w:spacing w:before="100" w:beforeAutospacing="1" w:after="100" w:afterAutospacing="1"/>
      </w:pPr>
      <w:r>
        <w:t> </w:t>
      </w:r>
    </w:p>
    <w:p w:rsidR="00E86984" w:rsidRDefault="00620172" w:rsidP="00F76C73">
      <w:pPr>
        <w:spacing w:before="100" w:beforeAutospacing="1" w:after="100" w:afterAutospacing="1"/>
      </w:pPr>
      <w:r>
        <w:t>At pag. 8, column first, art. 5, comma 2, letter f), where is written: « .... »."</w:t>
      </w:r>
    </w:p>
    <w:sectPr w:rsidR="00E869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29" w:rsidRDefault="00AE6E29" w:rsidP="009345A9">
      <w:r>
        <w:separator/>
      </w:r>
    </w:p>
  </w:endnote>
  <w:endnote w:type="continuationSeparator" w:id="0">
    <w:p w:rsidR="00AE6E29" w:rsidRDefault="00AE6E29" w:rsidP="0093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22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5A9" w:rsidRDefault="009345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5A9" w:rsidRDefault="00934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29" w:rsidRDefault="00AE6E29" w:rsidP="009345A9">
      <w:r>
        <w:separator/>
      </w:r>
    </w:p>
  </w:footnote>
  <w:footnote w:type="continuationSeparator" w:id="0">
    <w:p w:rsidR="00AE6E29" w:rsidRDefault="00AE6E29" w:rsidP="00934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72"/>
    <w:rsid w:val="00367750"/>
    <w:rsid w:val="00620172"/>
    <w:rsid w:val="009345A9"/>
    <w:rsid w:val="00AE6E29"/>
    <w:rsid w:val="00CB749C"/>
    <w:rsid w:val="00DF5451"/>
    <w:rsid w:val="00F52478"/>
    <w:rsid w:val="00F76C73"/>
    <w:rsid w:val="00F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1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5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A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1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5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id/%7btype%7d/%7byear%7d/%7bnumber%7d%5b/%7bsection%7d%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o.gov/fdsys/granule/USCODE-2012-title4/USCODE-2012-title4-chap1-sec1/mods.x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uscode.house.gov/browse/prelim@title17/chapter1&amp;edition=prel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pga/2013/29/section/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Oberlin Knapp</dc:creator>
  <cp:lastModifiedBy>Melanie Oberlin Knapp</cp:lastModifiedBy>
  <cp:revision>1</cp:revision>
  <dcterms:created xsi:type="dcterms:W3CDTF">2014-05-21T15:59:00Z</dcterms:created>
  <dcterms:modified xsi:type="dcterms:W3CDTF">2014-05-21T16:23:00Z</dcterms:modified>
</cp:coreProperties>
</file>