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D9" w:rsidRPr="007079D9" w:rsidRDefault="007079D9" w:rsidP="007079D9">
      <w:pPr>
        <w:jc w:val="center"/>
        <w:rPr>
          <w:b/>
          <w:sz w:val="36"/>
          <w:szCs w:val="36"/>
        </w:rPr>
      </w:pPr>
      <w:r w:rsidRPr="007079D9">
        <w:rPr>
          <w:b/>
          <w:sz w:val="36"/>
          <w:szCs w:val="36"/>
        </w:rPr>
        <w:t>Remarks on Akoma Ntoso 30</w:t>
      </w:r>
    </w:p>
    <w:p w:rsidR="00B01953" w:rsidRPr="00B01953" w:rsidRDefault="00B01953" w:rsidP="00FF3BE3">
      <w:pPr>
        <w:spacing w:before="360"/>
        <w:ind w:left="567" w:hanging="567"/>
        <w:rPr>
          <w:b/>
          <w:i/>
        </w:rPr>
      </w:pPr>
      <w:r w:rsidRPr="00B01953">
        <w:rPr>
          <w:b/>
          <w:i/>
        </w:rPr>
        <w:t>A.</w:t>
      </w:r>
      <w:r w:rsidRPr="00B01953">
        <w:rPr>
          <w:b/>
          <w:i/>
        </w:rPr>
        <w:tab/>
        <w:t>General remarks</w:t>
      </w:r>
    </w:p>
    <w:p w:rsidR="007079D9" w:rsidRDefault="007079D9" w:rsidP="00575938">
      <w:pPr>
        <w:spacing w:before="240"/>
        <w:ind w:left="567" w:hanging="567"/>
      </w:pPr>
      <w:r>
        <w:t xml:space="preserve">1. </w:t>
      </w:r>
      <w:r>
        <w:tab/>
      </w:r>
      <w:r>
        <w:t xml:space="preserve">The versioning as used in the file names is confusing, sometimes </w:t>
      </w:r>
      <w:r w:rsidR="00414739">
        <w:t>"</w:t>
      </w:r>
      <w:r>
        <w:t>1.0</w:t>
      </w:r>
      <w:r w:rsidR="00414739">
        <w:t>"</w:t>
      </w:r>
      <w:r>
        <w:t xml:space="preserve">, sometimes </w:t>
      </w:r>
      <w:r w:rsidR="00414739">
        <w:t>"</w:t>
      </w:r>
      <w:r>
        <w:t>30</w:t>
      </w:r>
      <w:r w:rsidR="00414739">
        <w:t>"</w:t>
      </w:r>
      <w:r>
        <w:t>.</w:t>
      </w:r>
      <w:r w:rsidR="00414739">
        <w:t xml:space="preserve"> So it is not clear how reliable the relation between the schema and the do</w:t>
      </w:r>
      <w:r w:rsidR="00414739">
        <w:t>c</w:t>
      </w:r>
      <w:r w:rsidR="00414739">
        <w:t>umentation is.</w:t>
      </w:r>
    </w:p>
    <w:p w:rsidR="007079D9" w:rsidRDefault="007079D9" w:rsidP="007079D9">
      <w:pPr>
        <w:spacing w:before="180"/>
        <w:ind w:left="567" w:hanging="567"/>
      </w:pPr>
      <w:r>
        <w:t xml:space="preserve">2. </w:t>
      </w:r>
      <w:r>
        <w:tab/>
      </w:r>
      <w:r>
        <w:t xml:space="preserve">Some element names (not their models) may be confusing for a newcomer who would never </w:t>
      </w:r>
    </w:p>
    <w:p w:rsidR="007079D9" w:rsidRDefault="007079D9" w:rsidP="007079D9">
      <w:pPr>
        <w:numPr>
          <w:ilvl w:val="0"/>
          <w:numId w:val="2"/>
        </w:numPr>
        <w:spacing w:before="180"/>
        <w:ind w:left="993" w:hanging="426"/>
      </w:pPr>
      <w:r>
        <w:t xml:space="preserve">look for the title of an act within the element "preface" nor </w:t>
      </w:r>
    </w:p>
    <w:p w:rsidR="007079D9" w:rsidRDefault="007079D9" w:rsidP="007079D9">
      <w:pPr>
        <w:numPr>
          <w:ilvl w:val="0"/>
          <w:numId w:val="2"/>
        </w:numPr>
        <w:spacing w:before="180"/>
        <w:ind w:left="993" w:hanging="426"/>
      </w:pPr>
      <w:r>
        <w:t xml:space="preserve">expect the signature, an important component of an act, under the element "conclusion" </w:t>
      </w:r>
    </w:p>
    <w:p w:rsidR="007079D9" w:rsidRDefault="007079D9" w:rsidP="007079D9">
      <w:pPr>
        <w:numPr>
          <w:ilvl w:val="0"/>
          <w:numId w:val="2"/>
        </w:numPr>
        <w:spacing w:before="180"/>
        <w:ind w:left="993" w:hanging="426"/>
      </w:pPr>
      <w:r>
        <w:t xml:space="preserve">nor look for the enacting terms of an act in the element "body" </w:t>
      </w:r>
    </w:p>
    <w:p w:rsidR="007079D9" w:rsidRDefault="007079D9" w:rsidP="007079D9">
      <w:pPr>
        <w:numPr>
          <w:ilvl w:val="0"/>
          <w:numId w:val="2"/>
        </w:numPr>
        <w:spacing w:before="180"/>
        <w:ind w:left="993" w:hanging="426"/>
      </w:pPr>
      <w:r>
        <w:t xml:space="preserve">nor see "formula" in most cases only as a textual fragment with a particular meaning. </w:t>
      </w:r>
    </w:p>
    <w:p w:rsidR="007079D9" w:rsidRDefault="007079D9" w:rsidP="007079D9">
      <w:pPr>
        <w:numPr>
          <w:ilvl w:val="0"/>
          <w:numId w:val="2"/>
        </w:numPr>
        <w:spacing w:before="180"/>
        <w:ind w:left="993" w:hanging="426"/>
      </w:pPr>
      <w:r>
        <w:t>O</w:t>
      </w:r>
      <w:r>
        <w:t>pinion (in AN the opinion of a judge, not a document type)</w:t>
      </w:r>
      <w:r>
        <w:t>, but opinions could be document types which even play a role in legislative procedures</w:t>
      </w:r>
    </w:p>
    <w:p w:rsidR="007079D9" w:rsidRDefault="007079D9" w:rsidP="007079D9">
      <w:pPr>
        <w:spacing w:before="180"/>
        <w:ind w:left="567"/>
      </w:pPr>
      <w:r>
        <w:t>If a type is explicitly called "hierarchicalStructure" and another one "collectio</w:t>
      </w:r>
      <w:r>
        <w:t>n</w:t>
      </w:r>
      <w:r>
        <w:t xml:space="preserve">Structure", is the latter one not supposed to be hierarchical, although it consists nearly of the same elements ("mainbody" instead of "body")? </w:t>
      </w:r>
    </w:p>
    <w:p w:rsidR="00B01953" w:rsidRDefault="00B01953" w:rsidP="00B01953">
      <w:pPr>
        <w:spacing w:before="180"/>
        <w:ind w:left="567" w:hanging="567"/>
      </w:pPr>
      <w:r>
        <w:t>3.</w:t>
      </w:r>
      <w:r>
        <w:tab/>
        <w:t>The annotations in the schema are often in an linguistically not finalised status: typing errors, incomplete, missing.</w:t>
      </w:r>
    </w:p>
    <w:p w:rsidR="00B01953" w:rsidRPr="00FF3BE3" w:rsidRDefault="00B01953" w:rsidP="00FF3BE3">
      <w:pPr>
        <w:spacing w:before="360"/>
        <w:ind w:left="567" w:hanging="567"/>
        <w:rPr>
          <w:b/>
          <w:i/>
        </w:rPr>
      </w:pPr>
      <w:r w:rsidRPr="00FF3BE3">
        <w:rPr>
          <w:b/>
          <w:i/>
        </w:rPr>
        <w:t>B.</w:t>
      </w:r>
      <w:r w:rsidRPr="00FF3BE3">
        <w:rPr>
          <w:b/>
          <w:i/>
        </w:rPr>
        <w:tab/>
        <w:t>Specific remarks</w:t>
      </w:r>
    </w:p>
    <w:p w:rsidR="00CC596D" w:rsidRDefault="00FF3BE3" w:rsidP="007079D9">
      <w:pPr>
        <w:spacing w:before="180"/>
        <w:ind w:left="567" w:hanging="567"/>
      </w:pPr>
      <w:r>
        <w:t>1</w:t>
      </w:r>
      <w:r w:rsidR="007079D9">
        <w:t xml:space="preserve">. </w:t>
      </w:r>
      <w:r w:rsidR="007079D9">
        <w:tab/>
      </w:r>
      <w:r w:rsidR="007079D9">
        <w:t xml:space="preserve">The element "foreign" is actually an encapsulation </w:t>
      </w:r>
      <w:r w:rsidR="00575938">
        <w:t>for</w:t>
      </w:r>
      <w:r w:rsidR="007079D9">
        <w:t xml:space="preserve"> external specifications. The switch of the name space and the "lax" processing of the contents </w:t>
      </w:r>
      <w:r w:rsidR="007079D9">
        <w:t>guarantee</w:t>
      </w:r>
      <w:r w:rsidR="007079D9">
        <w:t xml:space="preserve"> a lot of flexibility and openness for</w:t>
      </w:r>
      <w:r w:rsidR="00F2041E">
        <w:t xml:space="preserve"> the integration of</w:t>
      </w:r>
      <w:r w:rsidR="007079D9">
        <w:t xml:space="preserve"> external standards. Without an import of those standards, however, </w:t>
      </w:r>
      <w:r w:rsidR="00F2041E">
        <w:t>a</w:t>
      </w:r>
      <w:r w:rsidR="007079D9">
        <w:t xml:space="preserve"> real control with the external specific</w:t>
      </w:r>
      <w:r w:rsidR="007079D9">
        <w:t>a</w:t>
      </w:r>
      <w:r w:rsidR="007079D9">
        <w:t xml:space="preserve">tions is </w:t>
      </w:r>
      <w:r w:rsidR="00F2041E">
        <w:t>im</w:t>
      </w:r>
      <w:r w:rsidR="007079D9">
        <w:t>possible. Edit</w:t>
      </w:r>
      <w:r w:rsidR="00F2041E">
        <w:t>ing tools</w:t>
      </w:r>
      <w:r w:rsidR="007079D9">
        <w:t xml:space="preserve"> will not support user</w:t>
      </w:r>
      <w:r w:rsidR="00F2041E">
        <w:t>s</w:t>
      </w:r>
      <w:r w:rsidR="007079D9">
        <w:t xml:space="preserve"> by guiding </w:t>
      </w:r>
      <w:r w:rsidR="00F2041E">
        <w:t>them</w:t>
      </w:r>
      <w:r w:rsidR="007079D9">
        <w:t xml:space="preserve"> through the models (e.g. MathML).</w:t>
      </w:r>
      <w:r w:rsidR="00575938">
        <w:t>, This</w:t>
      </w:r>
      <w:r w:rsidR="00414739">
        <w:t xml:space="preserve"> </w:t>
      </w:r>
      <w:r w:rsidR="00575938">
        <w:t>difficulty</w:t>
      </w:r>
      <w:r w:rsidR="00414739">
        <w:t xml:space="preserve"> is far spread in the schema</w:t>
      </w:r>
      <w:r w:rsidR="00575938">
        <w:t>, because</w:t>
      </w:r>
      <w:r w:rsidR="00575938">
        <w:t xml:space="preserve"> the type </w:t>
      </w:r>
      <w:r w:rsidR="00575938">
        <w:t>type</w:t>
      </w:r>
      <w:r w:rsidR="00575938">
        <w:t xml:space="preserve"> "</w:t>
      </w:r>
      <w:r w:rsidR="00575938" w:rsidRPr="00CC596D">
        <w:t>anyOtherType</w:t>
      </w:r>
      <w:r w:rsidR="00575938">
        <w:t>" is extended by plenty other definitions</w:t>
      </w:r>
      <w:r w:rsidR="00414739">
        <w:t>.</w:t>
      </w:r>
    </w:p>
    <w:p w:rsidR="007079D9" w:rsidRDefault="00FF3BE3" w:rsidP="007079D9">
      <w:pPr>
        <w:spacing w:before="180"/>
        <w:ind w:left="567" w:hanging="567"/>
      </w:pPr>
      <w:r>
        <w:t>2</w:t>
      </w:r>
      <w:r w:rsidR="007079D9">
        <w:t xml:space="preserve">. </w:t>
      </w:r>
      <w:r w:rsidR="007079D9">
        <w:tab/>
      </w:r>
      <w:r w:rsidR="007079D9">
        <w:t>The arguments for the definition of a single/universal root element are not concl</w:t>
      </w:r>
      <w:r w:rsidR="007079D9">
        <w:t>u</w:t>
      </w:r>
      <w:r w:rsidR="007079D9">
        <w:t>sive. The distinction b</w:t>
      </w:r>
      <w:r w:rsidR="007079D9">
        <w:t>e</w:t>
      </w:r>
      <w:r w:rsidR="007079D9">
        <w:t>tween document types is just transferred to the next level. By definition, any element defined in a</w:t>
      </w:r>
      <w:r w:rsidR="00F2041E">
        <w:t>n XML</w:t>
      </w:r>
      <w:r w:rsidR="007079D9">
        <w:t xml:space="preserve"> schema can be used as root for a valid instance; this is also true for DTDs. Finally, the name of a root element does not say anything about the grammar behind.</w:t>
      </w:r>
    </w:p>
    <w:p w:rsidR="007079D9" w:rsidRDefault="00FF3BE3" w:rsidP="007079D9">
      <w:pPr>
        <w:spacing w:before="180"/>
        <w:ind w:left="567" w:hanging="567"/>
      </w:pPr>
      <w:r>
        <w:lastRenderedPageBreak/>
        <w:t>3</w:t>
      </w:r>
      <w:r w:rsidR="007079D9">
        <w:t xml:space="preserve">. </w:t>
      </w:r>
      <w:r w:rsidR="007079D9">
        <w:tab/>
      </w:r>
      <w:r w:rsidR="007079D9">
        <w:t>Elements l</w:t>
      </w:r>
      <w:r w:rsidR="005205BB">
        <w:t>ike "book", "tome", "chapter", "</w:t>
      </w:r>
      <w:r w:rsidR="007079D9">
        <w:t>article", "paragraph" etc. all refer to the same type definition "hierarchy" which hides the fact that there might exist a ce</w:t>
      </w:r>
      <w:r w:rsidR="007079D9">
        <w:t>r</w:t>
      </w:r>
      <w:r w:rsidR="007079D9">
        <w:t>tain hierarchical relation between them, which cannot be inverted</w:t>
      </w:r>
      <w:r w:rsidR="00F2041E">
        <w:t>, but which is a</w:t>
      </w:r>
      <w:r w:rsidR="00F2041E">
        <w:t>l</w:t>
      </w:r>
      <w:r w:rsidR="00F2041E">
        <w:t>lowed by the type</w:t>
      </w:r>
      <w:r w:rsidR="007079D9">
        <w:t>. This approach</w:t>
      </w:r>
      <w:r w:rsidR="00F2041E">
        <w:t xml:space="preserve"> risks that</w:t>
      </w:r>
      <w:r w:rsidR="007079D9">
        <w:t xml:space="preserve"> all business logic</w:t>
      </w:r>
      <w:r w:rsidR="00F2041E">
        <w:t xml:space="preserve"> is transferred</w:t>
      </w:r>
      <w:r w:rsidR="007079D9">
        <w:t xml:space="preserve"> to a tool's level.</w:t>
      </w:r>
    </w:p>
    <w:p w:rsidR="007079D9" w:rsidRDefault="00FF3BE3" w:rsidP="007079D9">
      <w:pPr>
        <w:spacing w:before="180"/>
        <w:ind w:left="567" w:hanging="567"/>
      </w:pPr>
      <w:r>
        <w:t>4</w:t>
      </w:r>
      <w:r w:rsidR="007079D9">
        <w:t xml:space="preserve">. </w:t>
      </w:r>
      <w:r w:rsidR="007079D9">
        <w:tab/>
      </w:r>
      <w:r w:rsidR="007079D9">
        <w:t xml:space="preserve">The annotations concerning hierarchical elements </w:t>
      </w:r>
      <w:r w:rsidR="00F2041E">
        <w:t>are</w:t>
      </w:r>
      <w:r w:rsidR="007079D9">
        <w:t xml:space="preserve"> always the same (</w:t>
      </w:r>
      <w:r w:rsidR="00F2041E">
        <w:t>'</w:t>
      </w:r>
      <w:r w:rsidR="007079D9">
        <w:t>this el</w:t>
      </w:r>
      <w:r w:rsidR="007079D9">
        <w:t>e</w:t>
      </w:r>
      <w:r w:rsidR="007079D9">
        <w:t>ment is a hierarchical container called "NNN" either explicitly or due to the local trad</w:t>
      </w:r>
      <w:r w:rsidR="007079D9">
        <w:t>i</w:t>
      </w:r>
      <w:r w:rsidR="007079D9">
        <w:t>tion</w:t>
      </w:r>
      <w:r w:rsidR="00F2041E">
        <w:t>'</w:t>
      </w:r>
      <w:r w:rsidR="007079D9">
        <w:t xml:space="preserve"> [NNN is the name of the element]), thus not explaining anything.</w:t>
      </w:r>
    </w:p>
    <w:p w:rsidR="00CC596D" w:rsidRDefault="00FF3BE3" w:rsidP="007079D9">
      <w:pPr>
        <w:spacing w:before="180"/>
        <w:ind w:left="567" w:hanging="567"/>
      </w:pPr>
      <w:r>
        <w:t>5</w:t>
      </w:r>
      <w:r w:rsidR="00CC596D">
        <w:t>.</w:t>
      </w:r>
      <w:r w:rsidR="00CC596D">
        <w:tab/>
        <w:t>The annotation/comment to the element "application" ("</w:t>
      </w:r>
      <w:r w:rsidR="00CC596D">
        <w:rPr>
          <w:rFonts w:eastAsia="Calibri"/>
          <w:color w:val="000000"/>
          <w:sz w:val="20"/>
          <w:szCs w:val="20"/>
          <w:highlight w:val="white"/>
        </w:rPr>
        <w:t>The element efficacy is a metadata element specifying the period of the efficacy modification.</w:t>
      </w:r>
      <w:r w:rsidR="00CC596D">
        <w:t>") actually refers to the preceding element "efficacy".</w:t>
      </w:r>
    </w:p>
    <w:p w:rsidR="007079D9" w:rsidRDefault="00FF3BE3" w:rsidP="007079D9">
      <w:pPr>
        <w:spacing w:before="180"/>
        <w:ind w:left="567" w:hanging="567"/>
      </w:pPr>
      <w:r>
        <w:t>6</w:t>
      </w:r>
      <w:r w:rsidR="007079D9">
        <w:t xml:space="preserve">. </w:t>
      </w:r>
      <w:r w:rsidR="007079D9">
        <w:tab/>
      </w:r>
      <w:r w:rsidR="007079D9">
        <w:t>The document types which are foreseen in the context of case law do not contain orders or conclusions of the advocate general.</w:t>
      </w:r>
    </w:p>
    <w:p w:rsidR="00CC596D" w:rsidRDefault="00FF3BE3" w:rsidP="007079D9">
      <w:pPr>
        <w:spacing w:before="180"/>
        <w:ind w:left="567" w:hanging="567"/>
      </w:pPr>
      <w:r>
        <w:t>7</w:t>
      </w:r>
      <w:r w:rsidR="007079D9">
        <w:t xml:space="preserve">. </w:t>
      </w:r>
      <w:r w:rsidR="007079D9">
        <w:tab/>
      </w:r>
      <w:r w:rsidR="007079D9">
        <w:t>The elements "listIntroduction" and "listWarpUp" contain text which surrounds the totality of the items of a given list. The phenomenon, however, is wider and as such language dependant. It is possible that the two components form a sentence which the list is a sub-part</w:t>
      </w:r>
      <w:r w:rsidR="00CC596D" w:rsidRPr="00CC596D">
        <w:t xml:space="preserve"> </w:t>
      </w:r>
      <w:r w:rsidR="00CC596D">
        <w:t>of</w:t>
      </w:r>
      <w:r w:rsidR="007079D9">
        <w:t>. A consequence of this perspective is that the co</w:t>
      </w:r>
      <w:r w:rsidR="007079D9">
        <w:t>m</w:t>
      </w:r>
      <w:r w:rsidR="007079D9">
        <w:t xml:space="preserve">ponents are not part of the list, but the list is part of the sentence. </w:t>
      </w:r>
    </w:p>
    <w:p w:rsidR="007079D9" w:rsidRDefault="007079D9" w:rsidP="00CC596D">
      <w:pPr>
        <w:spacing w:before="180"/>
        <w:ind w:left="567"/>
      </w:pPr>
      <w:r>
        <w:t>What about wrapping components which at the same time introduce a new list?</w:t>
      </w:r>
    </w:p>
    <w:p w:rsidR="004A7A21" w:rsidRDefault="00FF3BE3" w:rsidP="007079D9">
      <w:pPr>
        <w:spacing w:before="180"/>
        <w:ind w:left="567" w:hanging="567"/>
      </w:pPr>
      <w:r>
        <w:t>8</w:t>
      </w:r>
      <w:r w:rsidR="007079D9">
        <w:t xml:space="preserve">. </w:t>
      </w:r>
      <w:r w:rsidR="007079D9">
        <w:tab/>
      </w:r>
      <w:r w:rsidR="007079D9">
        <w:t>Elements like "b" or "i" are deprecated in HTML and replaced by other mark-up. But they continue to be used in AN with the same meaning as formerly in HTML.</w:t>
      </w:r>
    </w:p>
    <w:p w:rsidR="005205BB" w:rsidRDefault="00FF3BE3" w:rsidP="007079D9">
      <w:pPr>
        <w:spacing w:before="180"/>
        <w:ind w:left="567" w:hanging="567"/>
      </w:pPr>
      <w:r>
        <w:t>9</w:t>
      </w:r>
      <w:bookmarkStart w:id="0" w:name="_GoBack"/>
      <w:bookmarkEnd w:id="0"/>
      <w:r w:rsidR="005205BB">
        <w:t>.</w:t>
      </w:r>
      <w:r w:rsidR="005205BB">
        <w:tab/>
        <w:t>AN offers a system of generic containers for cases where documents are stru</w:t>
      </w:r>
      <w:r w:rsidR="005205BB">
        <w:t>c</w:t>
      </w:r>
      <w:r w:rsidR="005205BB">
        <w:t>tured in a special way. As a consequence other models could be stricter thus strengthening the guidance of users.</w:t>
      </w:r>
    </w:p>
    <w:sectPr w:rsidR="005205BB" w:rsidSect="007079D9">
      <w:foot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BF" w:rsidRDefault="009663BF" w:rsidP="00575938">
      <w:pPr>
        <w:spacing w:before="0" w:line="240" w:lineRule="auto"/>
      </w:pPr>
      <w:r>
        <w:separator/>
      </w:r>
    </w:p>
  </w:endnote>
  <w:endnote w:type="continuationSeparator" w:id="0">
    <w:p w:rsidR="009663BF" w:rsidRDefault="009663BF" w:rsidP="0057593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763"/>
      <w:gridCol w:w="957"/>
    </w:tblGrid>
    <w:tr w:rsidR="005205BB" w:rsidRPr="00575938" w:rsidTr="00575938">
      <w:tc>
        <w:tcPr>
          <w:tcW w:w="7763" w:type="dxa"/>
          <w:shd w:val="clear" w:color="auto" w:fill="auto"/>
        </w:tcPr>
        <w:p w:rsidR="00575938" w:rsidRPr="005205BB" w:rsidRDefault="00575938" w:rsidP="00575938">
          <w:pPr>
            <w:pStyle w:val="Footer"/>
            <w:spacing w:before="60" w:after="60" w:line="240" w:lineRule="exact"/>
            <w:jc w:val="left"/>
            <w:rPr>
              <w:i/>
              <w:sz w:val="20"/>
              <w:szCs w:val="20"/>
            </w:rPr>
          </w:pPr>
          <w:r w:rsidRPr="005205BB">
            <w:rPr>
              <w:i/>
              <w:sz w:val="20"/>
              <w:szCs w:val="20"/>
            </w:rPr>
            <w:t>Compiled by Dr. Holger Bagola (Publications Office, A1.002) version 1.0 – 2016-06-09</w:t>
          </w:r>
        </w:p>
      </w:tc>
      <w:tc>
        <w:tcPr>
          <w:tcW w:w="957" w:type="dxa"/>
          <w:shd w:val="clear" w:color="auto" w:fill="auto"/>
        </w:tcPr>
        <w:p w:rsidR="00575938" w:rsidRPr="00575938" w:rsidRDefault="00575938" w:rsidP="00575938">
          <w:pPr>
            <w:pStyle w:val="Footer"/>
            <w:spacing w:before="60" w:after="60" w:line="240" w:lineRule="exact"/>
            <w:jc w:val="right"/>
            <w:rPr>
              <w:sz w:val="20"/>
              <w:szCs w:val="20"/>
            </w:rPr>
          </w:pPr>
          <w:r w:rsidRPr="00575938">
            <w:rPr>
              <w:sz w:val="20"/>
              <w:szCs w:val="20"/>
            </w:rPr>
            <w:fldChar w:fldCharType="begin"/>
          </w:r>
          <w:r w:rsidRPr="00575938">
            <w:rPr>
              <w:sz w:val="20"/>
              <w:szCs w:val="20"/>
            </w:rPr>
            <w:instrText xml:space="preserve"> PAGE   \* MERGEFORMAT </w:instrText>
          </w:r>
          <w:r w:rsidRPr="00575938">
            <w:rPr>
              <w:sz w:val="20"/>
              <w:szCs w:val="20"/>
            </w:rPr>
            <w:fldChar w:fldCharType="separate"/>
          </w:r>
          <w:r w:rsidR="00FF3BE3">
            <w:rPr>
              <w:noProof/>
              <w:sz w:val="20"/>
              <w:szCs w:val="20"/>
            </w:rPr>
            <w:t>2</w:t>
          </w:r>
          <w:r w:rsidRPr="00575938">
            <w:rPr>
              <w:noProof/>
              <w:sz w:val="20"/>
              <w:szCs w:val="20"/>
            </w:rPr>
            <w:fldChar w:fldCharType="end"/>
          </w:r>
        </w:p>
      </w:tc>
    </w:tr>
  </w:tbl>
  <w:p w:rsidR="00575938" w:rsidRDefault="00575938">
    <w:pPr>
      <w:pStyle w:val="Footer"/>
      <w:jc w:val="right"/>
    </w:pPr>
  </w:p>
  <w:p w:rsidR="00575938" w:rsidRDefault="00575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BF" w:rsidRDefault="009663BF" w:rsidP="00575938">
      <w:pPr>
        <w:spacing w:before="0" w:line="240" w:lineRule="auto"/>
      </w:pPr>
      <w:r>
        <w:separator/>
      </w:r>
    </w:p>
  </w:footnote>
  <w:footnote w:type="continuationSeparator" w:id="0">
    <w:p w:rsidR="009663BF" w:rsidRDefault="009663BF" w:rsidP="0057593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6E8"/>
    <w:multiLevelType w:val="hybridMultilevel"/>
    <w:tmpl w:val="788046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8355DB"/>
    <w:multiLevelType w:val="hybridMultilevel"/>
    <w:tmpl w:val="F746F2B8"/>
    <w:lvl w:ilvl="0" w:tplc="D53867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D9"/>
    <w:rsid w:val="00414739"/>
    <w:rsid w:val="004A7A21"/>
    <w:rsid w:val="005205BB"/>
    <w:rsid w:val="00575938"/>
    <w:rsid w:val="007079D9"/>
    <w:rsid w:val="009663BF"/>
    <w:rsid w:val="00B01953"/>
    <w:rsid w:val="00CC596D"/>
    <w:rsid w:val="00D23C5E"/>
    <w:rsid w:val="00F2041E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5E"/>
    <w:pPr>
      <w:spacing w:before="120" w:line="300" w:lineRule="exact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93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5938"/>
    <w:rPr>
      <w:rFonts w:ascii="Times New Roman" w:eastAsia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759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5938"/>
    <w:rPr>
      <w:rFonts w:ascii="Times New Roman" w:eastAsia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57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5E"/>
    <w:pPr>
      <w:spacing w:before="120" w:line="300" w:lineRule="exact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93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5938"/>
    <w:rPr>
      <w:rFonts w:ascii="Times New Roman" w:eastAsia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759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5938"/>
    <w:rPr>
      <w:rFonts w:ascii="Times New Roman" w:eastAsia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57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BAGOLA Holger (OP)</dc:creator>
  <cp:lastModifiedBy>BAGOLA Holger (OP)</cp:lastModifiedBy>
  <cp:revision>1</cp:revision>
  <dcterms:created xsi:type="dcterms:W3CDTF">2016-06-09T11:51:00Z</dcterms:created>
  <dcterms:modified xsi:type="dcterms:W3CDTF">2016-06-09T13:17:00Z</dcterms:modified>
</cp:coreProperties>
</file>