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FBE" w:rsidRPr="005C3F1D" w:rsidRDefault="005C3F1D">
      <w:pPr>
        <w:spacing w:before="240" w:after="60"/>
        <w:jc w:val="center"/>
        <w:rPr>
          <w:lang w:val="en-US"/>
        </w:rPr>
      </w:pPr>
      <w:r w:rsidRPr="005C3F1D">
        <w:rPr>
          <w:rFonts w:ascii="Cambria" w:eastAsia="Cambria" w:hAnsi="Cambria" w:cs="Cambria"/>
          <w:b/>
          <w:sz w:val="32"/>
          <w:szCs w:val="32"/>
          <w:lang w:val="en-US"/>
        </w:rPr>
        <w:t xml:space="preserve">Public review comments for </w:t>
      </w:r>
      <w:proofErr w:type="spellStart"/>
      <w:r w:rsidRPr="005C3F1D">
        <w:rPr>
          <w:rFonts w:ascii="Cambria" w:eastAsia="Cambria" w:hAnsi="Cambria" w:cs="Cambria"/>
          <w:b/>
          <w:sz w:val="32"/>
          <w:szCs w:val="32"/>
          <w:lang w:val="en-US"/>
        </w:rPr>
        <w:t>LegalDocumentML</w:t>
      </w:r>
      <w:proofErr w:type="spellEnd"/>
      <w:r w:rsidRPr="005C3F1D">
        <w:rPr>
          <w:rFonts w:ascii="Cambria" w:eastAsia="Cambria" w:hAnsi="Cambria" w:cs="Cambria"/>
          <w:b/>
          <w:sz w:val="32"/>
          <w:szCs w:val="32"/>
          <w:lang w:val="en-US"/>
        </w:rPr>
        <w:t xml:space="preserve"> specifications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Authors: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Maria </w:t>
      </w:r>
      <w:proofErr w:type="spellStart"/>
      <w:r w:rsidRPr="005C3F1D">
        <w:rPr>
          <w:lang w:val="en-US"/>
        </w:rPr>
        <w:t>Kardami</w:t>
      </w:r>
      <w:proofErr w:type="spellEnd"/>
      <w:r w:rsidRPr="005C3F1D">
        <w:rPr>
          <w:lang w:val="en-US"/>
        </w:rPr>
        <w:t xml:space="preserve"> (Publications Office of the European Union)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Marc Wilhelm Küster (Publications Office of the European Union)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Contributors: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John Dann (Luxembourgish government, ELI TF Chair)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Enrico Francesconi (Publications Office of the European Union)</w:t>
      </w:r>
    </w:p>
    <w:p w:rsidR="007E4FBE" w:rsidRPr="005C3F1D" w:rsidRDefault="005C3F1D">
      <w:pPr>
        <w:pStyle w:val="Heading1"/>
        <w:rPr>
          <w:lang w:val="en-US"/>
        </w:rPr>
      </w:pPr>
      <w:bookmarkStart w:id="0" w:name="h.m9zay6jd165v" w:colFirst="0" w:colLast="0"/>
      <w:bookmarkEnd w:id="0"/>
      <w:r w:rsidRPr="005C3F1D">
        <w:rPr>
          <w:lang w:val="en-US"/>
        </w:rPr>
        <w:t>Rationale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We request that the compliance to 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schema must be separated from a concrete naming convention for cross referencing. Imposing this will probably hinder widely the implementation of this standard.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The following comments aim at making 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naming convention one out of multiple possible referencing schemes.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All other schemes, e.g. URN</w:t>
      </w:r>
      <w:proofErr w:type="gramStart"/>
      <w:r w:rsidRPr="005C3F1D">
        <w:rPr>
          <w:lang w:val="en-US"/>
        </w:rPr>
        <w:t>:LEX</w:t>
      </w:r>
      <w:proofErr w:type="gramEnd"/>
      <w:r w:rsidRPr="005C3F1D">
        <w:rPr>
          <w:lang w:val="en-US"/>
        </w:rPr>
        <w:t xml:space="preserve">, ECLI and ELI, </w:t>
      </w:r>
      <w:r w:rsidRPr="005C3F1D">
        <w:rPr>
          <w:b/>
          <w:u w:val="single"/>
          <w:lang w:val="en-US"/>
        </w:rPr>
        <w:t>must be possible on an equal footing</w:t>
      </w:r>
      <w:r w:rsidRPr="005C3F1D">
        <w:rPr>
          <w:lang w:val="en-US"/>
        </w:rPr>
        <w:t>. It is important to leave the choice up to the specific requirements of the encoder.</w:t>
      </w:r>
    </w:p>
    <w:p w:rsidR="007E4FBE" w:rsidRDefault="005C3F1D">
      <w:pPr>
        <w:pStyle w:val="Heading1"/>
        <w:numPr>
          <w:ilvl w:val="0"/>
          <w:numId w:val="1"/>
        </w:numPr>
        <w:ind w:hanging="432"/>
        <w:contextualSpacing/>
      </w:pPr>
      <w:r>
        <w:t>AkomaNtosoCore-v1.0-Vocabulary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>2.1 Objectives</w:t>
      </w:r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proofErr w:type="spellStart"/>
      <w:r>
        <w:t>Requested</w:t>
      </w:r>
      <w:proofErr w:type="spellEnd"/>
      <w:r>
        <w:t xml:space="preserve">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Reformulate the fourth bullet point to say:</w:t>
      </w:r>
    </w:p>
    <w:p w:rsidR="007E4FBE" w:rsidRPr="005C3F1D" w:rsidRDefault="005C3F1D">
      <w:pPr>
        <w:rPr>
          <w:lang w:val="en-US"/>
        </w:rPr>
      </w:pPr>
      <w:bookmarkStart w:id="1" w:name="h.gjdgxs" w:colFirst="0" w:colLast="0"/>
      <w:bookmarkEnd w:id="1"/>
      <w:r w:rsidRPr="005C3F1D">
        <w:rPr>
          <w:lang w:val="en-US"/>
        </w:rPr>
        <w:t>“To create or reuse common mechanisms for naming and linking resources via URI so that documents produced by Parliaments, administrative branches of government and Courts can be easily cited and cross-referenced by other Parliaments, Courts or individual users.”</w:t>
      </w:r>
    </w:p>
    <w:p w:rsidR="007E4FBE" w:rsidRPr="005C3F1D" w:rsidRDefault="005C3F1D">
      <w:pPr>
        <w:pStyle w:val="Heading2"/>
        <w:numPr>
          <w:ilvl w:val="1"/>
          <w:numId w:val="1"/>
        </w:numPr>
        <w:ind w:hanging="576"/>
        <w:rPr>
          <w:lang w:val="en-US"/>
        </w:rPr>
      </w:pPr>
      <w:r w:rsidRPr="005C3F1D">
        <w:rPr>
          <w:lang w:val="en-US"/>
        </w:rPr>
        <w:t>3.6 Schema for citation and cross referencing of documents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Comment type: technical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Impact: major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Requested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Reformulate the first two paragraphs as follows:</w:t>
      </w:r>
    </w:p>
    <w:p w:rsidR="007E4FBE" w:rsidRPr="005C3F1D" w:rsidRDefault="005C3F1D">
      <w:pPr>
        <w:rPr>
          <w:lang w:val="en-US"/>
        </w:rPr>
      </w:pPr>
      <w:bookmarkStart w:id="2" w:name="h.rhwxtva94bef" w:colFirst="0" w:colLast="0"/>
      <w:bookmarkEnd w:id="2"/>
      <w:r w:rsidRPr="005C3F1D">
        <w:rPr>
          <w:lang w:val="en-US"/>
        </w:rPr>
        <w:lastRenderedPageBreak/>
        <w:t xml:space="preserve">“This specification proposes a mechanism for citation and cross referencing of data between documents. </w:t>
      </w:r>
    </w:p>
    <w:p w:rsidR="007E4FBE" w:rsidRDefault="005C3F1D">
      <w:bookmarkStart w:id="3" w:name="h.30j0zll" w:colFirst="0" w:colLast="0"/>
      <w:bookmarkEnd w:id="3"/>
      <w:r w:rsidRPr="005C3F1D">
        <w:rPr>
          <w:i/>
          <w:lang w:val="en-US"/>
        </w:rPr>
        <w:t xml:space="preserve">Adopters are encouraged to follow the Akoma </w:t>
      </w:r>
      <w:proofErr w:type="spellStart"/>
      <w:r w:rsidRPr="005C3F1D">
        <w:rPr>
          <w:i/>
          <w:lang w:val="en-US"/>
        </w:rPr>
        <w:t>Ntoso</w:t>
      </w:r>
      <w:proofErr w:type="spellEnd"/>
      <w:r w:rsidRPr="005C3F1D">
        <w:rPr>
          <w:i/>
          <w:lang w:val="en-US"/>
        </w:rPr>
        <w:t xml:space="preserve"> naming convention or any other functionally equivalent convention for citing and cross referencing between documents. </w:t>
      </w:r>
      <w:r>
        <w:rPr>
          <w:i/>
        </w:rPr>
        <w:t xml:space="preserve">All </w:t>
      </w:r>
      <w:proofErr w:type="spellStart"/>
      <w:r>
        <w:rPr>
          <w:i/>
        </w:rPr>
        <w:t>mechanisms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equally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valid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compliance.</w:t>
      </w:r>
      <w:r>
        <w:t>”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>4.1.2 URI/IRI</w:t>
      </w:r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proofErr w:type="spellStart"/>
      <w:r>
        <w:t>Requested</w:t>
      </w:r>
      <w:proofErr w:type="spellEnd"/>
      <w:r>
        <w:t xml:space="preserve">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Reformulate the second paragraph as follows:</w:t>
      </w:r>
    </w:p>
    <w:p w:rsidR="007E4FBE" w:rsidRDefault="005C3F1D">
      <w:bookmarkStart w:id="4" w:name="h.1fob9te" w:colFirst="0" w:colLast="0"/>
      <w:bookmarkEnd w:id="4"/>
      <w:r w:rsidRPr="005C3F1D">
        <w:rPr>
          <w:lang w:val="en-US"/>
        </w:rPr>
        <w:t xml:space="preserve">“Akoma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gives a lot of importance to URIs/IRIs, and provides systematically specific URIs/IRIs for all documents, concepts of the ontology, and even for the markup language itself. A possible set of such URIs/IRIs are described in 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naming convention.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functionally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set of </w:t>
      </w:r>
      <w:proofErr w:type="spellStart"/>
      <w:r>
        <w:t>URIs</w:t>
      </w:r>
      <w:proofErr w:type="spellEnd"/>
      <w:r>
        <w:t xml:space="preserve"> are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>.”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 xml:space="preserve">4.1.4 </w:t>
      </w:r>
      <w:proofErr w:type="spellStart"/>
      <w:r>
        <w:t>Ontology</w:t>
      </w:r>
      <w:proofErr w:type="spellEnd"/>
    </w:p>
    <w:p w:rsidR="007E4FBE" w:rsidRDefault="005C3F1D">
      <w:r>
        <w:t xml:space="preserve">Comment type: </w:t>
      </w:r>
      <w:proofErr w:type="spellStart"/>
      <w:r>
        <w:t>editorial</w:t>
      </w:r>
      <w:proofErr w:type="spellEnd"/>
    </w:p>
    <w:p w:rsidR="007E4FBE" w:rsidRDefault="005C3F1D">
      <w:r>
        <w:t>Impact: minor</w:t>
      </w:r>
    </w:p>
    <w:p w:rsidR="007E4FBE" w:rsidRDefault="005C3F1D">
      <w:proofErr w:type="spellStart"/>
      <w:r>
        <w:t>Requested</w:t>
      </w:r>
      <w:proofErr w:type="spellEnd"/>
      <w:r>
        <w:t xml:space="preserve">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The following formulation is to be clarified:</w:t>
      </w:r>
    </w:p>
    <w:p w:rsidR="007E4FBE" w:rsidRPr="005C3F1D" w:rsidRDefault="005C3F1D">
      <w:pPr>
        <w:rPr>
          <w:lang w:val="en-US"/>
        </w:rPr>
      </w:pPr>
      <w:bookmarkStart w:id="5" w:name="h.3znysh7" w:colFirst="0" w:colLast="0"/>
      <w:bookmarkEnd w:id="5"/>
      <w:r w:rsidRPr="005C3F1D">
        <w:rPr>
          <w:lang w:val="en-US"/>
        </w:rPr>
        <w:t xml:space="preserve">“Akoma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allows a large number of different ontologies to be created</w:t>
      </w:r>
      <w:r w:rsidRPr="005C3F1D">
        <w:rPr>
          <w:i/>
          <w:lang w:val="en-US"/>
        </w:rPr>
        <w:t xml:space="preserve"> in the</w:t>
      </w:r>
      <w:r w:rsidRPr="005C3F1D">
        <w:rPr>
          <w:lang w:val="en-US"/>
        </w:rPr>
        <w:t xml:space="preserve"> document it describes</w:t>
      </w:r>
      <w:proofErr w:type="gramStart"/>
      <w:r w:rsidRPr="005C3F1D">
        <w:rPr>
          <w:lang w:val="en-US"/>
        </w:rPr>
        <w:t>,...</w:t>
      </w:r>
      <w:proofErr w:type="gramEnd"/>
      <w:r w:rsidRPr="005C3F1D">
        <w:rPr>
          <w:lang w:val="en-US"/>
        </w:rPr>
        <w:t>”</w:t>
      </w:r>
    </w:p>
    <w:p w:rsidR="007E4FBE" w:rsidRDefault="005C3F1D">
      <w:pPr>
        <w:pStyle w:val="Heading2"/>
        <w:numPr>
          <w:ilvl w:val="1"/>
          <w:numId w:val="1"/>
        </w:numPr>
        <w:contextualSpacing/>
      </w:pPr>
      <w:bookmarkStart w:id="6" w:name="h.j9jykejcptbg" w:colFirst="0" w:colLast="0"/>
      <w:bookmarkEnd w:id="6"/>
      <w:r>
        <w:t xml:space="preserve">4.1.5 </w:t>
      </w:r>
      <w:r>
        <w:rPr>
          <w:sz w:val="26"/>
          <w:szCs w:val="26"/>
        </w:rPr>
        <w:t>Design patterns</w:t>
      </w:r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proofErr w:type="spellStart"/>
      <w:r>
        <w:t>Requested</w:t>
      </w:r>
      <w:proofErr w:type="spellEnd"/>
      <w:r>
        <w:t xml:space="preserve">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Reference the work on legislative patterns undertaken by the UK government. Emphasize the link on logical links that can be </w:t>
      </w:r>
      <w:r>
        <w:rPr>
          <w:lang w:val="en-US"/>
        </w:rPr>
        <w:t>encoded</w:t>
      </w:r>
      <w:r w:rsidRPr="005C3F1D">
        <w:rPr>
          <w:lang w:val="en-US"/>
        </w:rPr>
        <w:t xml:space="preserve"> in multiple ways reflecting the editor’s preferences.</w:t>
      </w:r>
    </w:p>
    <w:p w:rsidR="007E4FBE" w:rsidRPr="005C3F1D" w:rsidRDefault="005C3F1D">
      <w:pPr>
        <w:pStyle w:val="Heading2"/>
        <w:numPr>
          <w:ilvl w:val="1"/>
          <w:numId w:val="1"/>
        </w:numPr>
        <w:ind w:hanging="576"/>
        <w:rPr>
          <w:lang w:val="en-US"/>
        </w:rPr>
      </w:pPr>
      <w:r w:rsidRPr="005C3F1D">
        <w:rPr>
          <w:lang w:val="en-US"/>
        </w:rPr>
        <w:t>4.3.3 Naming is an editorial process</w:t>
      </w:r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proofErr w:type="spellStart"/>
      <w:r>
        <w:t>Requested</w:t>
      </w:r>
      <w:proofErr w:type="spellEnd"/>
      <w:r>
        <w:t xml:space="preserve">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lastRenderedPageBreak/>
        <w:t xml:space="preserve">Delete the last sentence (“Nonetheless, it is of the uttermost importance that they are created correctly and precisely according to 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naming convention.”)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 xml:space="preserve">5.8.3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legal</w:t>
      </w:r>
      <w:proofErr w:type="spellEnd"/>
      <w:r>
        <w:t xml:space="preserve"> sources</w:t>
      </w:r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proofErr w:type="spellStart"/>
      <w:r>
        <w:t>Requested</w:t>
      </w:r>
      <w:proofErr w:type="spellEnd"/>
      <w:r>
        <w:t xml:space="preserve">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Reformulate the first paragraph as follows: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“Another important situation where we use a combination of metadata and semantic annotation in the content is the relationship between a normative citation to a legal source using a different naming convention (e.g., URN:LEX, ECLI, ELI). These citation schemes can be used directly in the </w:t>
      </w:r>
      <w:proofErr w:type="spellStart"/>
      <w:r w:rsidRPr="005C3F1D">
        <w:rPr>
          <w:lang w:val="en-US"/>
        </w:rPr>
        <w:t>href</w:t>
      </w:r>
      <w:proofErr w:type="spellEnd"/>
      <w:r w:rsidRPr="005C3F1D">
        <w:rPr>
          <w:lang w:val="en-US"/>
        </w:rPr>
        <w:t xml:space="preserve"> attribute. However, if an implementer wants to use multiple citation schemes in parallel, they can use the following markup method, here exemplified with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naming convention:”</w:t>
      </w:r>
    </w:p>
    <w:p w:rsidR="007E4FBE" w:rsidRPr="005C3F1D" w:rsidRDefault="007E4FBE">
      <w:pPr>
        <w:rPr>
          <w:lang w:val="en-US"/>
        </w:rPr>
      </w:pP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 xml:space="preserve">5.8.3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legal</w:t>
      </w:r>
      <w:proofErr w:type="spellEnd"/>
      <w:r>
        <w:t xml:space="preserve"> sources</w:t>
      </w:r>
    </w:p>
    <w:p w:rsidR="007E4FBE" w:rsidRDefault="005C3F1D">
      <w:r>
        <w:t xml:space="preserve">Comment type: </w:t>
      </w:r>
      <w:proofErr w:type="spellStart"/>
      <w:r>
        <w:t>editorial</w:t>
      </w:r>
      <w:proofErr w:type="spellEnd"/>
    </w:p>
    <w:p w:rsidR="007E4FBE" w:rsidRDefault="005C3F1D">
      <w:r>
        <w:t>Impact: minor</w:t>
      </w:r>
    </w:p>
    <w:p w:rsidR="007E4FBE" w:rsidRDefault="005C3F1D">
      <w:proofErr w:type="spellStart"/>
      <w:r>
        <w:t>Requested</w:t>
      </w:r>
      <w:proofErr w:type="spellEnd"/>
      <w:r>
        <w:t xml:space="preserve"> action: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Correct the following erroneous ELI examples:</w:t>
      </w:r>
    </w:p>
    <w:p w:rsidR="007E4FBE" w:rsidRPr="005C3F1D" w:rsidRDefault="005C3F1D">
      <w:pPr>
        <w:rPr>
          <w:lang w:val="en-US"/>
        </w:rPr>
      </w:pPr>
      <w:r w:rsidRPr="005C3F1D">
        <w:rPr>
          <w:rFonts w:ascii="Arial" w:eastAsia="Arial" w:hAnsi="Arial" w:cs="Arial"/>
          <w:sz w:val="20"/>
          <w:szCs w:val="20"/>
          <w:lang w:val="en-US"/>
        </w:rPr>
        <w:t>&lt;</w:t>
      </w:r>
      <w:proofErr w:type="spellStart"/>
      <w:r w:rsidRPr="005C3F1D">
        <w:rPr>
          <w:rFonts w:ascii="Arial" w:eastAsia="Arial" w:hAnsi="Arial" w:cs="Arial"/>
          <w:sz w:val="20"/>
          <w:szCs w:val="20"/>
          <w:lang w:val="en-US"/>
        </w:rPr>
        <w:t>TLCReference</w:t>
      </w:r>
      <w:proofErr w:type="spellEnd"/>
      <w:r w:rsidRPr="005C3F1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5C3F1D">
        <w:rPr>
          <w:rFonts w:ascii="Arial" w:eastAsia="Arial" w:hAnsi="Arial" w:cs="Arial"/>
          <w:sz w:val="20"/>
          <w:szCs w:val="20"/>
          <w:lang w:val="en-US"/>
        </w:rPr>
        <w:t>eId</w:t>
      </w:r>
      <w:proofErr w:type="spellEnd"/>
      <w:r w:rsidRPr="005C3F1D">
        <w:rPr>
          <w:rFonts w:ascii="Arial" w:eastAsia="Arial" w:hAnsi="Arial" w:cs="Arial"/>
          <w:sz w:val="20"/>
          <w:szCs w:val="20"/>
          <w:lang w:val="en-US"/>
        </w:rPr>
        <w:t xml:space="preserve">="reference_2" </w:t>
      </w:r>
      <w:proofErr w:type="spellStart"/>
      <w:r w:rsidRPr="005C3F1D">
        <w:rPr>
          <w:rFonts w:ascii="Arial" w:eastAsia="Arial" w:hAnsi="Arial" w:cs="Arial"/>
          <w:sz w:val="20"/>
          <w:szCs w:val="20"/>
          <w:lang w:val="en-US"/>
        </w:rPr>
        <w:t>href</w:t>
      </w:r>
      <w:proofErr w:type="spellEnd"/>
      <w:r w:rsidRPr="005C3F1D">
        <w:rPr>
          <w:rFonts w:ascii="Arial" w:eastAsia="Arial" w:hAnsi="Arial" w:cs="Arial"/>
          <w:sz w:val="20"/>
          <w:szCs w:val="20"/>
          <w:lang w:val="en-US"/>
        </w:rPr>
        <w:t>="</w:t>
      </w:r>
      <w:r w:rsidRPr="005C3F1D">
        <w:rPr>
          <w:rFonts w:ascii="Arial" w:eastAsia="Arial" w:hAnsi="Arial" w:cs="Arial"/>
          <w:sz w:val="20"/>
          <w:szCs w:val="20"/>
          <w:highlight w:val="yellow"/>
          <w:lang w:val="en-US"/>
        </w:rPr>
        <w:t>http://data.europa.eu/</w:t>
      </w:r>
      <w:proofErr w:type="spellStart"/>
      <w:r w:rsidRPr="005C3F1D">
        <w:rPr>
          <w:rFonts w:ascii="Arial" w:eastAsia="Arial" w:hAnsi="Arial" w:cs="Arial"/>
          <w:sz w:val="20"/>
          <w:szCs w:val="20"/>
          <w:highlight w:val="yellow"/>
          <w:lang w:val="en-US"/>
        </w:rPr>
        <w:t>eli</w:t>
      </w:r>
      <w:proofErr w:type="spellEnd"/>
      <w:r w:rsidRPr="005C3F1D">
        <w:rPr>
          <w:rFonts w:ascii="Arial" w:eastAsia="Arial" w:hAnsi="Arial" w:cs="Arial"/>
          <w:sz w:val="20"/>
          <w:szCs w:val="20"/>
          <w:highlight w:val="yellow"/>
          <w:lang w:val="en-US"/>
        </w:rPr>
        <w:t>/</w:t>
      </w:r>
      <w:proofErr w:type="spellStart"/>
      <w:r w:rsidRPr="005C3F1D">
        <w:rPr>
          <w:rFonts w:ascii="Arial" w:eastAsia="Arial" w:hAnsi="Arial" w:cs="Arial"/>
          <w:sz w:val="20"/>
          <w:szCs w:val="20"/>
          <w:highlight w:val="yellow"/>
          <w:lang w:val="en-US"/>
        </w:rPr>
        <w:t>uk</w:t>
      </w:r>
      <w:proofErr w:type="spellEnd"/>
      <w:r w:rsidRPr="005C3F1D">
        <w:rPr>
          <w:rFonts w:ascii="Arial" w:eastAsia="Arial" w:hAnsi="Arial" w:cs="Arial"/>
          <w:sz w:val="20"/>
          <w:szCs w:val="20"/>
          <w:highlight w:val="yellow"/>
          <w:lang w:val="en-US"/>
        </w:rPr>
        <w:t>/act/2000-07-28/cpt_23/sct_58</w:t>
      </w:r>
      <w:r w:rsidRPr="005C3F1D">
        <w:rPr>
          <w:rFonts w:ascii="Arial" w:eastAsia="Arial" w:hAnsi="Arial" w:cs="Arial"/>
          <w:sz w:val="20"/>
          <w:szCs w:val="20"/>
          <w:lang w:val="en-US"/>
        </w:rPr>
        <w:t xml:space="preserve">" </w:t>
      </w:r>
      <w:proofErr w:type="spellStart"/>
      <w:r w:rsidRPr="005C3F1D">
        <w:rPr>
          <w:rFonts w:ascii="Arial" w:eastAsia="Arial" w:hAnsi="Arial" w:cs="Arial"/>
          <w:sz w:val="20"/>
          <w:szCs w:val="20"/>
          <w:lang w:val="en-US"/>
        </w:rPr>
        <w:t>showAs</w:t>
      </w:r>
      <w:proofErr w:type="spellEnd"/>
      <w:r w:rsidRPr="005C3F1D">
        <w:rPr>
          <w:rFonts w:ascii="Arial" w:eastAsia="Arial" w:hAnsi="Arial" w:cs="Arial"/>
          <w:sz w:val="20"/>
          <w:szCs w:val="20"/>
          <w:lang w:val="en-US"/>
        </w:rPr>
        <w:t xml:space="preserve">="alias" name="ELI-UK" </w:t>
      </w:r>
      <w:proofErr w:type="spellStart"/>
      <w:r w:rsidRPr="005C3F1D">
        <w:rPr>
          <w:rFonts w:ascii="Arial" w:eastAsia="Arial" w:hAnsi="Arial" w:cs="Arial"/>
          <w:sz w:val="20"/>
          <w:szCs w:val="20"/>
          <w:lang w:val="en-US"/>
        </w:rPr>
        <w:t>refersTo</w:t>
      </w:r>
      <w:proofErr w:type="spellEnd"/>
      <w:r w:rsidRPr="005C3F1D">
        <w:rPr>
          <w:rFonts w:ascii="Arial" w:eastAsia="Arial" w:hAnsi="Arial" w:cs="Arial"/>
          <w:sz w:val="20"/>
          <w:szCs w:val="20"/>
          <w:lang w:val="en-US"/>
        </w:rPr>
        <w:t>="ref_13"/&gt;</w:t>
      </w:r>
    </w:p>
    <w:p w:rsidR="007E4FBE" w:rsidRPr="005C3F1D" w:rsidRDefault="005C3F1D">
      <w:pPr>
        <w:rPr>
          <w:lang w:val="en-US"/>
        </w:rPr>
      </w:pPr>
      <w:bookmarkStart w:id="7" w:name="h.c0uy8frf7lt7" w:colFirst="0" w:colLast="0"/>
      <w:bookmarkEnd w:id="7"/>
      <w:r w:rsidRPr="005C3F1D">
        <w:rPr>
          <w:lang w:val="en-US"/>
        </w:rPr>
        <w:t xml:space="preserve">Change to:  </w:t>
      </w:r>
    </w:p>
    <w:bookmarkStart w:id="8" w:name="h.9f2ci24iq2ja" w:colFirst="0" w:colLast="0"/>
    <w:bookmarkEnd w:id="8"/>
    <w:p w:rsidR="007E4FBE" w:rsidRPr="005C3F1D" w:rsidRDefault="005C3F1D">
      <w:pPr>
        <w:rPr>
          <w:lang w:val="en-US"/>
        </w:rPr>
      </w:pPr>
      <w:r>
        <w:fldChar w:fldCharType="begin"/>
      </w:r>
      <w:r w:rsidRPr="005C3F1D">
        <w:rPr>
          <w:lang w:val="en-US"/>
        </w:rPr>
        <w:instrText xml:space="preserve"> HYPERLINK "http://www.legislation.gov.uk/id/ukpga/2000/23/section/58" \h </w:instrText>
      </w:r>
      <w:r>
        <w:fldChar w:fldCharType="separate"/>
      </w:r>
      <w:r w:rsidRPr="005C3F1D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n-US"/>
        </w:rPr>
        <w:t>http://www.legislation.gov.uk/id/ukpga/2000/23/section/58</w:t>
      </w:r>
      <w:r>
        <w:rPr>
          <w:rFonts w:ascii="Arial" w:eastAsia="Arial" w:hAnsi="Arial" w:cs="Arial"/>
          <w:color w:val="1155CC"/>
          <w:sz w:val="20"/>
          <w:szCs w:val="20"/>
          <w:highlight w:val="white"/>
          <w:u w:val="single"/>
        </w:rPr>
        <w:fldChar w:fldCharType="end"/>
      </w:r>
    </w:p>
    <w:p w:rsidR="007E4FBE" w:rsidRPr="005C3F1D" w:rsidRDefault="005C3F1D">
      <w:pPr>
        <w:rPr>
          <w:lang w:val="en-US"/>
        </w:rPr>
      </w:pPr>
      <w:bookmarkStart w:id="9" w:name="h.7fof1t9z96sz" w:colFirst="0" w:colLast="0"/>
      <w:bookmarkEnd w:id="9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Change also </w:t>
      </w:r>
    </w:p>
    <w:p w:rsidR="007E4FBE" w:rsidRPr="005C3F1D" w:rsidRDefault="005C3F1D">
      <w:pPr>
        <w:rPr>
          <w:lang w:val="en-US"/>
        </w:rPr>
      </w:pPr>
      <w:bookmarkStart w:id="10" w:name="h.o15vy8dry5o0" w:colFirst="0" w:colLast="0"/>
      <w:bookmarkEnd w:id="10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>&lt;</w:t>
      </w:r>
      <w:proofErr w:type="spellStart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>FRBRalias</w:t>
      </w:r>
      <w:proofErr w:type="spellEnd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name="ELI” value=”</w:t>
      </w:r>
      <w:r w:rsidR="0026086A">
        <w:fldChar w:fldCharType="begin"/>
      </w:r>
      <w:r w:rsidR="0026086A" w:rsidRPr="0026086A">
        <w:rPr>
          <w:lang w:val="en-US"/>
        </w:rPr>
        <w:instrText xml:space="preserve"> HYPERLINK "http://www.legislation.gov.uk/ukpga/2016/5/" \h </w:instrText>
      </w:r>
      <w:r w:rsidR="0026086A">
        <w:fldChar w:fldCharType="separate"/>
      </w:r>
      <w:r w:rsidRPr="005C3F1D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n-US"/>
        </w:rPr>
        <w:t>http://www.legislation.gov.uk/ukpga/2016/5/</w:t>
      </w:r>
      <w:r w:rsidR="0026086A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n-US"/>
        </w:rPr>
        <w:fldChar w:fldCharType="end"/>
      </w:r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"/&gt; </w:t>
      </w:r>
    </w:p>
    <w:p w:rsidR="007E4FBE" w:rsidRPr="005C3F1D" w:rsidRDefault="005C3F1D">
      <w:pPr>
        <w:rPr>
          <w:lang w:val="en-US"/>
        </w:rPr>
      </w:pPr>
      <w:bookmarkStart w:id="11" w:name="h.7gyshyrbzcld" w:colFirst="0" w:colLast="0"/>
      <w:bookmarkEnd w:id="11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to </w:t>
      </w:r>
    </w:p>
    <w:p w:rsidR="007E4FBE" w:rsidRPr="005C3F1D" w:rsidRDefault="005C3F1D">
      <w:pPr>
        <w:rPr>
          <w:lang w:val="en-US"/>
        </w:rPr>
      </w:pPr>
      <w:bookmarkStart w:id="12" w:name="h.1b7lfjrex4u8" w:colFirst="0" w:colLast="0"/>
      <w:bookmarkEnd w:id="12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>&lt;</w:t>
      </w:r>
      <w:proofErr w:type="spellStart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>FRBRalias</w:t>
      </w:r>
      <w:proofErr w:type="spellEnd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name="ELI” value=”</w:t>
      </w:r>
      <w:r w:rsidR="0026086A">
        <w:fldChar w:fldCharType="begin"/>
      </w:r>
      <w:r w:rsidR="0026086A" w:rsidRPr="0026086A">
        <w:rPr>
          <w:lang w:val="en-US"/>
        </w:rPr>
        <w:instrText xml:space="preserve"> HYPERLINK "http://www.legislation.gov.uk/id/ukpga/2016/5/" \h </w:instrText>
      </w:r>
      <w:r w:rsidR="0026086A">
        <w:fldChar w:fldCharType="separate"/>
      </w:r>
      <w:r w:rsidRPr="005C3F1D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n-US"/>
        </w:rPr>
        <w:t>http://www.legislation.gov.uk/id/ukpga/2016/5/</w:t>
      </w:r>
      <w:r w:rsidR="0026086A"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n-US"/>
        </w:rPr>
        <w:fldChar w:fldCharType="end"/>
      </w:r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"/&gt; </w:t>
      </w:r>
    </w:p>
    <w:p w:rsidR="007E4FBE" w:rsidRPr="005C3F1D" w:rsidRDefault="005C3F1D">
      <w:pPr>
        <w:rPr>
          <w:lang w:val="en-US"/>
        </w:rPr>
      </w:pPr>
      <w:bookmarkStart w:id="13" w:name="h.2et92p0" w:colFirst="0" w:colLast="0"/>
      <w:bookmarkEnd w:id="13"/>
      <w:r w:rsidRPr="005C3F1D">
        <w:rPr>
          <w:rFonts w:ascii="Arial" w:eastAsia="Arial" w:hAnsi="Arial" w:cs="Arial"/>
          <w:sz w:val="20"/>
          <w:szCs w:val="20"/>
          <w:highlight w:val="white"/>
          <w:lang w:val="en-US"/>
        </w:rPr>
        <w:t>Note that the corresponding URI:LEX reference is equally incorrect.UK documents are identified by year not enactment date.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>5.9.1 Identification</w:t>
      </w:r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proofErr w:type="spellStart"/>
      <w:r>
        <w:lastRenderedPageBreak/>
        <w:t>Requested</w:t>
      </w:r>
      <w:proofErr w:type="spellEnd"/>
      <w:r>
        <w:t xml:space="preserve"> action:</w:t>
      </w:r>
    </w:p>
    <w:p w:rsidR="007E4FBE" w:rsidRDefault="005C3F1D">
      <w:proofErr w:type="spellStart"/>
      <w:r>
        <w:t>Reformulate</w:t>
      </w:r>
      <w:proofErr w:type="spellEnd"/>
      <w:r>
        <w:t xml:space="preserve"> the </w:t>
      </w:r>
      <w:proofErr w:type="spellStart"/>
      <w:r>
        <w:t>text</w:t>
      </w:r>
      <w:proofErr w:type="spellEnd"/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“The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language allows names for documents that are free of restrictions and can be used everywhere (except in the markup of references) instead of the corresponding URIs/IRIs. These names (called aliases in 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language) can be specified to record “well-known” natural language names for the document, as well as shortened names or even acronyms commonly used to refer to a document, see in the example below.” 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as follows: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“The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language allows names for documents that are free of restrictions and can be used everywhere  instead of the corresponding URIs/IRIs. If desired, these names can be specified to record “well-known” natural language names for the document, as well as shortened names or even acronyms commonly used to refer to a document, see in the example below.”</w:t>
      </w:r>
    </w:p>
    <w:p w:rsidR="007E4FBE" w:rsidRPr="005C3F1D" w:rsidRDefault="007E4FBE">
      <w:pPr>
        <w:rPr>
          <w:lang w:val="en-US"/>
        </w:rPr>
      </w:pP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>7</w:t>
      </w:r>
      <w:r>
        <w:rPr>
          <w:sz w:val="14"/>
          <w:szCs w:val="14"/>
        </w:rPr>
        <w:t xml:space="preserve">      </w:t>
      </w:r>
      <w:r>
        <w:t>Levels of Compliance (Non-Normative)</w:t>
      </w:r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Remove “and naming convention of URI/IRI (FRBR metadata)…”  from the requirements for level 2 compliance and review all compliance levels in this sense. 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Alternatively, change the definition of </w:t>
      </w:r>
      <w:proofErr w:type="spellStart"/>
      <w:r w:rsidRPr="005C3F1D">
        <w:rPr>
          <w:lang w:val="en-US"/>
        </w:rPr>
        <w:t>href</w:t>
      </w:r>
      <w:proofErr w:type="spellEnd"/>
      <w:r w:rsidRPr="005C3F1D">
        <w:rPr>
          <w:lang w:val="en-US"/>
        </w:rPr>
        <w:t xml:space="preserve"> in the AkomaNtosoNaming-v1.0, chapter 6 (cf. Below) or add after the table the clarification “Any functionally equivalent naming convention is equally compliant.”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Delete points b, c, d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Note that in any case the reference to section 8 is unclear. This section contains only the conformance clause (which means conformance to the schema). </w:t>
      </w:r>
    </w:p>
    <w:p w:rsidR="007E4FBE" w:rsidRPr="005C3F1D" w:rsidRDefault="005C3F1D">
      <w:pPr>
        <w:spacing w:line="240" w:lineRule="auto"/>
        <w:rPr>
          <w:lang w:val="en-US"/>
        </w:rPr>
      </w:pPr>
      <w:r w:rsidRPr="005C3F1D">
        <w:rPr>
          <w:lang w:val="en-US"/>
        </w:rPr>
        <w:t xml:space="preserve">“b)     </w:t>
      </w:r>
      <w:r w:rsidRPr="005C3F1D">
        <w:rPr>
          <w:lang w:val="en-US"/>
        </w:rPr>
        <w:tab/>
        <w:t xml:space="preserve">Documents seeking compliancy level 2 or greater must use attributes </w:t>
      </w:r>
      <w:proofErr w:type="spellStart"/>
      <w:r w:rsidRPr="005C3F1D">
        <w:rPr>
          <w:lang w:val="en-US"/>
        </w:rPr>
        <w:t>eId</w:t>
      </w:r>
      <w:proofErr w:type="spellEnd"/>
      <w:r w:rsidRPr="005C3F1D">
        <w:rPr>
          <w:lang w:val="en-US"/>
        </w:rPr>
        <w:t xml:space="preserve"> and </w:t>
      </w:r>
      <w:proofErr w:type="spellStart"/>
      <w:r w:rsidRPr="005C3F1D">
        <w:rPr>
          <w:lang w:val="en-US"/>
        </w:rPr>
        <w:t>wId</w:t>
      </w:r>
      <w:proofErr w:type="spellEnd"/>
      <w:r w:rsidRPr="005C3F1D">
        <w:rPr>
          <w:lang w:val="en-US"/>
        </w:rPr>
        <w:t xml:space="preserve"> according to the constraints and rules expressed in section 8 of these notes.</w:t>
      </w:r>
    </w:p>
    <w:p w:rsidR="007E4FBE" w:rsidRPr="005C3F1D" w:rsidRDefault="005C3F1D">
      <w:pPr>
        <w:spacing w:line="240" w:lineRule="auto"/>
        <w:rPr>
          <w:lang w:val="en-US"/>
        </w:rPr>
      </w:pPr>
      <w:r w:rsidRPr="005C3F1D">
        <w:rPr>
          <w:lang w:val="en-US"/>
        </w:rPr>
        <w:t xml:space="preserve">c)     </w:t>
      </w:r>
      <w:r w:rsidRPr="005C3F1D">
        <w:rPr>
          <w:lang w:val="en-US"/>
        </w:rPr>
        <w:tab/>
        <w:t xml:space="preserve">Documents seeking compliancy level 1 may use attributes </w:t>
      </w:r>
      <w:proofErr w:type="spellStart"/>
      <w:r w:rsidRPr="005C3F1D">
        <w:rPr>
          <w:lang w:val="en-US"/>
        </w:rPr>
        <w:t>eId</w:t>
      </w:r>
      <w:proofErr w:type="spellEnd"/>
      <w:r w:rsidRPr="005C3F1D">
        <w:rPr>
          <w:lang w:val="en-US"/>
        </w:rPr>
        <w:t xml:space="preserve"> and </w:t>
      </w:r>
      <w:proofErr w:type="spellStart"/>
      <w:r w:rsidRPr="005C3F1D">
        <w:rPr>
          <w:lang w:val="en-US"/>
        </w:rPr>
        <w:t>wId</w:t>
      </w:r>
      <w:proofErr w:type="spellEnd"/>
      <w:r w:rsidRPr="005C3F1D">
        <w:rPr>
          <w:lang w:val="en-US"/>
        </w:rPr>
        <w:t>, and if they do use them, they must use them according to the constraints and rules expressed in section 8 of these notes.</w:t>
      </w:r>
    </w:p>
    <w:p w:rsidR="007E4FBE" w:rsidRPr="005C3F1D" w:rsidRDefault="005C3F1D">
      <w:pPr>
        <w:spacing w:line="240" w:lineRule="auto"/>
        <w:rPr>
          <w:lang w:val="en-US"/>
        </w:rPr>
      </w:pPr>
      <w:r w:rsidRPr="005C3F1D">
        <w:rPr>
          <w:lang w:val="en-US"/>
        </w:rPr>
        <w:t xml:space="preserve">d)     </w:t>
      </w:r>
      <w:r w:rsidRPr="005C3F1D">
        <w:rPr>
          <w:lang w:val="en-US"/>
        </w:rPr>
        <w:tab/>
        <w:t xml:space="preserve">Documents seeking compliancy level 1 and not complying with the constraints and rules for identifiers expressed in section 8 of these notes must not use attributes </w:t>
      </w:r>
      <w:proofErr w:type="spellStart"/>
      <w:r w:rsidRPr="005C3F1D">
        <w:rPr>
          <w:lang w:val="en-US"/>
        </w:rPr>
        <w:t>eId</w:t>
      </w:r>
      <w:proofErr w:type="spellEnd"/>
      <w:r w:rsidRPr="005C3F1D">
        <w:rPr>
          <w:lang w:val="en-US"/>
        </w:rPr>
        <w:t xml:space="preserve"> and </w:t>
      </w:r>
      <w:proofErr w:type="spellStart"/>
      <w:r w:rsidRPr="005C3F1D">
        <w:rPr>
          <w:lang w:val="en-US"/>
        </w:rPr>
        <w:t>wId.</w:t>
      </w:r>
      <w:proofErr w:type="spellEnd"/>
      <w:r w:rsidRPr="005C3F1D">
        <w:rPr>
          <w:lang w:val="en-US"/>
        </w:rPr>
        <w:t>”</w:t>
      </w:r>
    </w:p>
    <w:p w:rsidR="007E4FBE" w:rsidRPr="005C3F1D" w:rsidRDefault="007E4FBE">
      <w:pPr>
        <w:pStyle w:val="Heading1"/>
        <w:ind w:left="0" w:firstLine="0"/>
        <w:rPr>
          <w:lang w:val="en-US"/>
        </w:rPr>
      </w:pP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br w:type="page"/>
      </w:r>
    </w:p>
    <w:p w:rsidR="007E4FBE" w:rsidRDefault="005C3F1D">
      <w:pPr>
        <w:pStyle w:val="Heading1"/>
        <w:numPr>
          <w:ilvl w:val="0"/>
          <w:numId w:val="1"/>
        </w:numPr>
        <w:ind w:hanging="432"/>
      </w:pPr>
      <w:r>
        <w:lastRenderedPageBreak/>
        <w:t>AkomaNtosoCore-v1.0-Specifications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proofErr w:type="spellStart"/>
      <w:r>
        <w:t>Element</w:t>
      </w:r>
      <w:proofErr w:type="spellEnd"/>
      <w:r>
        <w:t xml:space="preserve"> </w:t>
      </w:r>
      <w:proofErr w:type="spellStart"/>
      <w:r>
        <w:t>ref</w:t>
      </w:r>
      <w:proofErr w:type="spellEnd"/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r>
        <w:t xml:space="preserve">Action </w:t>
      </w:r>
      <w:proofErr w:type="spellStart"/>
      <w:r>
        <w:t>required</w:t>
      </w:r>
      <w:proofErr w:type="spellEnd"/>
      <w:r>
        <w:t>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Change the definition of the element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currently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&lt;comment&gt;the element ref is an inline element containing a legal references (i.e. a reference to a document with legal status and for which an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IRI exists)&lt;/comment&gt;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 to the following text:</w:t>
      </w:r>
    </w:p>
    <w:p w:rsidR="007E4FBE" w:rsidRPr="005C3F1D" w:rsidRDefault="005C3F1D">
      <w:pPr>
        <w:spacing w:after="0"/>
        <w:rPr>
          <w:lang w:val="en-US"/>
        </w:rPr>
      </w:pPr>
      <w:r w:rsidRPr="005C3F1D">
        <w:rPr>
          <w:rFonts w:ascii="Liberation Mono" w:eastAsia="Liberation Mono" w:hAnsi="Liberation Mono" w:cs="Liberation Mono"/>
          <w:sz w:val="20"/>
          <w:szCs w:val="20"/>
          <w:lang w:val="en-US"/>
        </w:rPr>
        <w:t>&lt;comment&gt;the element ref is an inline element containing a legal reference &lt;/comment&gt;</w:t>
      </w:r>
    </w:p>
    <w:p w:rsidR="007E4FBE" w:rsidRPr="005C3F1D" w:rsidRDefault="007E4FBE">
      <w:pPr>
        <w:spacing w:after="0"/>
        <w:rPr>
          <w:lang w:val="en-US"/>
        </w:rPr>
      </w:pPr>
    </w:p>
    <w:p w:rsidR="007E4FBE" w:rsidRDefault="005C3F1D">
      <w:pPr>
        <w:pStyle w:val="Heading2"/>
        <w:numPr>
          <w:ilvl w:val="1"/>
          <w:numId w:val="1"/>
        </w:numPr>
        <w:ind w:hanging="576"/>
      </w:pPr>
      <w:proofErr w:type="spellStart"/>
      <w:r>
        <w:t>Element</w:t>
      </w:r>
      <w:proofErr w:type="spellEnd"/>
      <w:r>
        <w:t xml:space="preserve"> </w:t>
      </w:r>
      <w:proofErr w:type="spellStart"/>
      <w:r>
        <w:t>FRBRthis</w:t>
      </w:r>
      <w:proofErr w:type="spellEnd"/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r>
        <w:t xml:space="preserve">Action </w:t>
      </w:r>
      <w:proofErr w:type="spellStart"/>
      <w:r>
        <w:t>required</w:t>
      </w:r>
      <w:proofErr w:type="spellEnd"/>
      <w:r>
        <w:t>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Change the definition of the element as follows:</w:t>
      </w:r>
    </w:p>
    <w:p w:rsidR="007E4FBE" w:rsidRPr="005C3F1D" w:rsidRDefault="005C3F1D">
      <w:pPr>
        <w:spacing w:after="0"/>
        <w:rPr>
          <w:lang w:val="en-US"/>
        </w:rPr>
      </w:pPr>
      <w:r w:rsidRPr="005C3F1D">
        <w:rPr>
          <w:rFonts w:ascii="Liberation Mono" w:eastAsia="Liberation Mono" w:hAnsi="Liberation Mono" w:cs="Liberation Mono"/>
          <w:sz w:val="20"/>
          <w:szCs w:val="20"/>
          <w:lang w:val="en-US"/>
        </w:rPr>
        <w:t xml:space="preserve">&lt;comment&gt;The element </w:t>
      </w:r>
      <w:proofErr w:type="spellStart"/>
      <w:r w:rsidRPr="005C3F1D">
        <w:rPr>
          <w:rFonts w:ascii="Liberation Mono" w:eastAsia="Liberation Mono" w:hAnsi="Liberation Mono" w:cs="Liberation Mono"/>
          <w:sz w:val="20"/>
          <w:szCs w:val="20"/>
          <w:lang w:val="en-US"/>
        </w:rPr>
        <w:t>FRBRthis</w:t>
      </w:r>
      <w:proofErr w:type="spellEnd"/>
      <w:r w:rsidRPr="005C3F1D">
        <w:rPr>
          <w:rFonts w:ascii="Liberation Mono" w:eastAsia="Liberation Mono" w:hAnsi="Liberation Mono" w:cs="Liberation Mono"/>
          <w:sz w:val="20"/>
          <w:szCs w:val="20"/>
          <w:lang w:val="en-US"/>
        </w:rPr>
        <w:t xml:space="preserve"> is the metadata property containing the IRI of the specific component of the document&lt;/comment&gt;</w:t>
      </w:r>
    </w:p>
    <w:p w:rsidR="007E4FBE" w:rsidRPr="005C3F1D" w:rsidRDefault="007E4FBE">
      <w:pPr>
        <w:spacing w:after="0"/>
        <w:rPr>
          <w:lang w:val="en-US"/>
        </w:rPr>
      </w:pP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Apply the analogous change to the elements </w:t>
      </w:r>
      <w:proofErr w:type="spellStart"/>
      <w:r w:rsidRPr="005C3F1D">
        <w:rPr>
          <w:lang w:val="en-US"/>
        </w:rPr>
        <w:t>FRBRuri</w:t>
      </w:r>
      <w:proofErr w:type="spellEnd"/>
      <w:r w:rsidRPr="005C3F1D">
        <w:rPr>
          <w:lang w:val="en-US"/>
        </w:rPr>
        <w:t xml:space="preserve">, </w:t>
      </w:r>
      <w:proofErr w:type="spellStart"/>
      <w:r w:rsidRPr="005C3F1D">
        <w:rPr>
          <w:lang w:val="en-US"/>
        </w:rPr>
        <w:t>FRBRsubtype</w:t>
      </w:r>
      <w:proofErr w:type="spellEnd"/>
      <w:r w:rsidRPr="005C3F1D">
        <w:rPr>
          <w:lang w:val="en-US"/>
        </w:rPr>
        <w:t>.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br w:type="page"/>
      </w:r>
    </w:p>
    <w:p w:rsidR="007E4FBE" w:rsidRDefault="005C3F1D" w:rsidP="00DF0465">
      <w:pPr>
        <w:pStyle w:val="Heading1"/>
        <w:ind w:firstLine="0"/>
        <w:rPr>
          <w:highlight w:val="yellow"/>
        </w:rPr>
      </w:pPr>
      <w:bookmarkStart w:id="14" w:name="_GoBack"/>
      <w:bookmarkEnd w:id="14"/>
      <w:r>
        <w:lastRenderedPageBreak/>
        <w:t>AkomaNtosoNaming-v1.0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The naming convention document must be explicitly indicated as a non-normative part of </w:t>
      </w:r>
      <w:proofErr w:type="gramStart"/>
      <w:r w:rsidRPr="005C3F1D">
        <w:rPr>
          <w:lang w:val="en-US"/>
        </w:rPr>
        <w:t xml:space="preserve">the  </w:t>
      </w:r>
      <w:proofErr w:type="spellStart"/>
      <w:r w:rsidRPr="005C3F1D">
        <w:rPr>
          <w:lang w:val="en-US"/>
        </w:rPr>
        <w:t>LegalDocumentML</w:t>
      </w:r>
      <w:proofErr w:type="spellEnd"/>
      <w:proofErr w:type="gramEnd"/>
      <w:r w:rsidRPr="005C3F1D">
        <w:rPr>
          <w:lang w:val="en-US"/>
        </w:rPr>
        <w:t xml:space="preserve"> specification and the following changes must be introduced: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 xml:space="preserve">4.1 Document </w:t>
      </w:r>
      <w:proofErr w:type="spellStart"/>
      <w:r>
        <w:t>IRIs</w:t>
      </w:r>
      <w:proofErr w:type="spellEnd"/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r>
        <w:t xml:space="preserve">Action </w:t>
      </w:r>
      <w:proofErr w:type="spellStart"/>
      <w:r>
        <w:t>required</w:t>
      </w:r>
      <w:proofErr w:type="spellEnd"/>
      <w:r>
        <w:t>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Change the first paragraph as follows: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“All resources are identified by a unique name. Resources can be categorized as Work, Expression, Manifestation and Item, and each of these categories can have a different naming structure. A possible syntax of the resource is specified in the following section, the “AKOMA NTOSO Naming Convention””.</w:t>
      </w: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 xml:space="preserve">4.2 </w:t>
      </w:r>
      <w:proofErr w:type="spellStart"/>
      <w:r>
        <w:t>Absolute</w:t>
      </w:r>
      <w:proofErr w:type="spellEnd"/>
      <w:r>
        <w:t xml:space="preserve"> and Relative </w:t>
      </w:r>
      <w:proofErr w:type="spellStart"/>
      <w:r>
        <w:t>IRIs</w:t>
      </w:r>
      <w:proofErr w:type="spellEnd"/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r>
        <w:t xml:space="preserve">Action </w:t>
      </w:r>
      <w:proofErr w:type="spellStart"/>
      <w:r>
        <w:t>required</w:t>
      </w:r>
      <w:proofErr w:type="spellEnd"/>
      <w:r>
        <w:t>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Reformulate the third and fourth paragraphs as follows:</w:t>
      </w:r>
    </w:p>
    <w:p w:rsidR="007E4FBE" w:rsidRPr="005C3F1D" w:rsidRDefault="005C3F1D">
      <w:pPr>
        <w:spacing w:after="140" w:line="288" w:lineRule="auto"/>
        <w:rPr>
          <w:lang w:val="en-US"/>
        </w:rPr>
      </w:pPr>
      <w:r w:rsidRPr="005C3F1D">
        <w:rPr>
          <w:lang w:val="en-US"/>
        </w:rPr>
        <w:t xml:space="preserve">“In XML manifestations of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documents, IRI references can </w:t>
      </w:r>
      <w:proofErr w:type="gramStart"/>
      <w:r w:rsidRPr="005C3F1D">
        <w:rPr>
          <w:lang w:val="en-US"/>
        </w:rPr>
        <w:t>be  expressed</w:t>
      </w:r>
      <w:proofErr w:type="gramEnd"/>
      <w:r w:rsidRPr="005C3F1D">
        <w:rPr>
          <w:lang w:val="en-US"/>
        </w:rPr>
        <w:t xml:space="preserve"> in relative forms. </w:t>
      </w:r>
    </w:p>
    <w:p w:rsidR="007E4FBE" w:rsidRPr="005C3F1D" w:rsidRDefault="005C3F1D">
      <w:pPr>
        <w:spacing w:after="140" w:line="288" w:lineRule="auto"/>
        <w:rPr>
          <w:lang w:val="en-US"/>
        </w:rPr>
      </w:pPr>
      <w:r w:rsidRPr="005C3F1D">
        <w:rPr>
          <w:lang w:val="en-US"/>
        </w:rPr>
        <w:t>For relative IRIs any resolution is carried out by the source of the base document (e.g., the one where the IRI reference is stored).”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Delete the seventh paragraph or reformulate it to permit both global references on all levels: </w:t>
      </w:r>
    </w:p>
    <w:p w:rsidR="007E4FBE" w:rsidRDefault="005C3F1D">
      <w:r>
        <w:t xml:space="preserve">“In XML manifestations ... </w:t>
      </w:r>
      <w:proofErr w:type="spellStart"/>
      <w:r>
        <w:t>corresponding</w:t>
      </w:r>
      <w:proofErr w:type="spellEnd"/>
      <w:r>
        <w:t xml:space="preserve"> component.”</w:t>
      </w:r>
    </w:p>
    <w:p w:rsidR="007E4FBE" w:rsidRPr="005C3F1D" w:rsidRDefault="005C3F1D">
      <w:pPr>
        <w:pStyle w:val="Heading2"/>
        <w:numPr>
          <w:ilvl w:val="1"/>
          <w:numId w:val="1"/>
        </w:numPr>
        <w:ind w:hanging="576"/>
        <w:rPr>
          <w:lang w:val="en-US"/>
        </w:rPr>
      </w:pPr>
      <w:r w:rsidRPr="005C3F1D">
        <w:rPr>
          <w:lang w:val="en-US"/>
        </w:rPr>
        <w:t>5.  Identifying elements of document (Normative)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Comment type: technical2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Impact: major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Action required: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Change the third paragraph to say: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“The Akoma </w:t>
      </w:r>
      <w:proofErr w:type="spellStart"/>
      <w:r w:rsidRPr="005C3F1D">
        <w:rPr>
          <w:lang w:val="en-US"/>
        </w:rPr>
        <w:t>Ntoso</w:t>
      </w:r>
      <w:proofErr w:type="spellEnd"/>
      <w:r w:rsidRPr="005C3F1D">
        <w:rPr>
          <w:lang w:val="en-US"/>
        </w:rPr>
        <w:t xml:space="preserve"> XML vocabulary uses three different attributes for the attribution of ids to elements. All of them are optional for basic conformance, and required for higher level conformance.  </w:t>
      </w:r>
      <w:r w:rsidRPr="005C3F1D">
        <w:rPr>
          <w:lang w:val="en-US"/>
        </w:rPr>
        <w:lastRenderedPageBreak/>
        <w:t xml:space="preserve">While the use of </w:t>
      </w:r>
      <w:proofErr w:type="spellStart"/>
      <w:r w:rsidRPr="005C3F1D">
        <w:rPr>
          <w:lang w:val="en-US"/>
        </w:rPr>
        <w:t>eIds</w:t>
      </w:r>
      <w:proofErr w:type="spellEnd"/>
      <w:r w:rsidRPr="005C3F1D">
        <w:rPr>
          <w:lang w:val="en-US"/>
        </w:rPr>
        <w:t xml:space="preserve"> and </w:t>
      </w:r>
      <w:proofErr w:type="spellStart"/>
      <w:r w:rsidRPr="005C3F1D">
        <w:rPr>
          <w:lang w:val="en-US"/>
        </w:rPr>
        <w:t>wIds</w:t>
      </w:r>
      <w:proofErr w:type="spellEnd"/>
      <w:r w:rsidRPr="005C3F1D">
        <w:rPr>
          <w:lang w:val="en-US"/>
        </w:rPr>
        <w:t xml:space="preserve"> is not required for basic conformance, they CAN use the syntax described here IF used</w:t>
      </w:r>
      <w:proofErr w:type="gramStart"/>
      <w:r w:rsidRPr="005C3F1D">
        <w:rPr>
          <w:lang w:val="en-US"/>
        </w:rPr>
        <w:t>.“</w:t>
      </w:r>
      <w:proofErr w:type="gramEnd"/>
    </w:p>
    <w:p w:rsidR="007E4FBE" w:rsidRPr="005C3F1D" w:rsidRDefault="005C3F1D">
      <w:pPr>
        <w:pStyle w:val="Heading2"/>
        <w:numPr>
          <w:ilvl w:val="1"/>
          <w:numId w:val="1"/>
        </w:numPr>
        <w:ind w:hanging="576"/>
        <w:rPr>
          <w:lang w:val="en-US"/>
        </w:rPr>
      </w:pPr>
      <w:r w:rsidRPr="005C3F1D">
        <w:rPr>
          <w:lang w:val="en-US"/>
        </w:rPr>
        <w:t xml:space="preserve">5.4.1 Elements That </w:t>
      </w:r>
      <w:proofErr w:type="gramStart"/>
      <w:r w:rsidRPr="005C3F1D">
        <w:rPr>
          <w:lang w:val="en-US"/>
        </w:rPr>
        <w:t>Require</w:t>
      </w:r>
      <w:proofErr w:type="gramEnd"/>
      <w:r w:rsidRPr="005C3F1D">
        <w:rPr>
          <w:lang w:val="en-US"/>
        </w:rPr>
        <w:t xml:space="preserve"> an </w:t>
      </w:r>
      <w:proofErr w:type="spellStart"/>
      <w:r w:rsidRPr="005C3F1D">
        <w:rPr>
          <w:lang w:val="en-US"/>
        </w:rPr>
        <w:t>eId</w:t>
      </w:r>
      <w:proofErr w:type="spellEnd"/>
      <w:r w:rsidRPr="005C3F1D">
        <w:rPr>
          <w:lang w:val="en-US"/>
        </w:rPr>
        <w:t xml:space="preserve"> Attribute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Comment type: technical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Impact: major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Action required: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Change the text to say: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“The use of attribute </w:t>
      </w:r>
      <w:proofErr w:type="spellStart"/>
      <w:r w:rsidRPr="005C3F1D">
        <w:rPr>
          <w:rFonts w:ascii="Courier New" w:eastAsia="Courier New" w:hAnsi="Courier New" w:cs="Courier New"/>
          <w:lang w:val="en-US"/>
        </w:rPr>
        <w:t>eId</w:t>
      </w:r>
      <w:proofErr w:type="spellEnd"/>
      <w:r w:rsidRPr="005C3F1D">
        <w:rPr>
          <w:lang w:val="en-US"/>
        </w:rPr>
        <w:t xml:space="preserve"> is optional for conformance level 1. If attribute </w:t>
      </w:r>
      <w:proofErr w:type="spellStart"/>
      <w:r w:rsidRPr="005C3F1D">
        <w:rPr>
          <w:rFonts w:ascii="Courier New" w:eastAsia="Courier New" w:hAnsi="Courier New" w:cs="Courier New"/>
          <w:lang w:val="en-US"/>
        </w:rPr>
        <w:t>eId</w:t>
      </w:r>
      <w:proofErr w:type="spellEnd"/>
      <w:r w:rsidRPr="005C3F1D">
        <w:rPr>
          <w:lang w:val="en-US"/>
        </w:rPr>
        <w:t xml:space="preserve"> is used, then it CAN be used according to the syntax in section 5.2, any functionally equivalent syntax being equally conformant. If attribute </w:t>
      </w:r>
      <w:proofErr w:type="spellStart"/>
      <w:r w:rsidRPr="005C3F1D">
        <w:rPr>
          <w:rFonts w:ascii="Courier New" w:eastAsia="Courier New" w:hAnsi="Courier New" w:cs="Courier New"/>
          <w:lang w:val="en-US"/>
        </w:rPr>
        <w:t>eId</w:t>
      </w:r>
      <w:proofErr w:type="spellEnd"/>
      <w:r w:rsidRPr="005C3F1D">
        <w:rPr>
          <w:lang w:val="en-US"/>
        </w:rPr>
        <w:t xml:space="preserve"> is used in a document, then it is required for all elements that use or include attribute group </w:t>
      </w:r>
      <w:proofErr w:type="spellStart"/>
      <w:r w:rsidRPr="005C3F1D">
        <w:rPr>
          <w:rFonts w:ascii="Courier New" w:eastAsia="Courier New" w:hAnsi="Courier New" w:cs="Courier New"/>
          <w:lang w:val="en-US"/>
        </w:rPr>
        <w:t>idreq</w:t>
      </w:r>
      <w:proofErr w:type="spellEnd"/>
      <w:r w:rsidRPr="005C3F1D">
        <w:rPr>
          <w:lang w:val="en-US"/>
        </w:rPr>
        <w:t xml:space="preserve">, and optional in all elements using or including attribute group </w:t>
      </w:r>
      <w:proofErr w:type="spellStart"/>
      <w:r w:rsidRPr="005C3F1D">
        <w:rPr>
          <w:rFonts w:ascii="Courier New" w:eastAsia="Courier New" w:hAnsi="Courier New" w:cs="Courier New"/>
          <w:lang w:val="en-US"/>
        </w:rPr>
        <w:t>idfac</w:t>
      </w:r>
      <w:proofErr w:type="spellEnd"/>
      <w:r w:rsidRPr="005C3F1D">
        <w:rPr>
          <w:lang w:val="en-US"/>
        </w:rPr>
        <w:t>.”</w:t>
      </w:r>
    </w:p>
    <w:p w:rsidR="007E4FBE" w:rsidRPr="005C3F1D" w:rsidRDefault="007E4FBE">
      <w:pPr>
        <w:rPr>
          <w:lang w:val="en-US"/>
        </w:rPr>
      </w:pPr>
    </w:p>
    <w:p w:rsidR="007E4FBE" w:rsidRDefault="005C3F1D">
      <w:pPr>
        <w:pStyle w:val="Heading2"/>
        <w:numPr>
          <w:ilvl w:val="1"/>
          <w:numId w:val="1"/>
        </w:numPr>
        <w:ind w:hanging="576"/>
      </w:pPr>
      <w:r>
        <w:t>6.</w:t>
      </w:r>
      <w:r>
        <w:rPr>
          <w:sz w:val="14"/>
          <w:szCs w:val="14"/>
        </w:rPr>
        <w:t xml:space="preserve">  </w:t>
      </w:r>
      <w:proofErr w:type="spellStart"/>
      <w:r>
        <w:t>Conformance</w:t>
      </w:r>
      <w:proofErr w:type="spellEnd"/>
    </w:p>
    <w:p w:rsidR="007E4FBE" w:rsidRDefault="005C3F1D">
      <w:r>
        <w:t xml:space="preserve">Comment type: </w:t>
      </w:r>
      <w:proofErr w:type="spellStart"/>
      <w:r>
        <w:t>technical</w:t>
      </w:r>
      <w:proofErr w:type="spellEnd"/>
    </w:p>
    <w:p w:rsidR="007E4FBE" w:rsidRDefault="005C3F1D">
      <w:r>
        <w:t>Impact: major</w:t>
      </w:r>
    </w:p>
    <w:p w:rsidR="007E4FBE" w:rsidRDefault="005C3F1D">
      <w:r>
        <w:t xml:space="preserve">Action </w:t>
      </w:r>
      <w:proofErr w:type="spellStart"/>
      <w:r>
        <w:t>required</w:t>
      </w:r>
      <w:proofErr w:type="spellEnd"/>
      <w:r>
        <w:t>: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>Delete text starting with “#</w:t>
      </w:r>
      <w:proofErr w:type="gramStart"/>
      <w:r w:rsidRPr="005C3F1D">
        <w:rPr>
          <w:lang w:val="en-US"/>
        </w:rPr>
        <w:t>2  an</w:t>
      </w:r>
      <w:proofErr w:type="gramEnd"/>
      <w:r w:rsidRPr="005C3F1D">
        <w:rPr>
          <w:lang w:val="en-US"/>
        </w:rPr>
        <w:t xml:space="preserve"> XML document is...”</w:t>
      </w:r>
    </w:p>
    <w:p w:rsidR="007E4FBE" w:rsidRPr="005C3F1D" w:rsidRDefault="005C3F1D">
      <w:pPr>
        <w:rPr>
          <w:lang w:val="en-US"/>
        </w:rPr>
      </w:pPr>
      <w:r w:rsidRPr="005C3F1D">
        <w:rPr>
          <w:lang w:val="en-US"/>
        </w:rPr>
        <w:t xml:space="preserve">Alternatively, in 2.1, 2.2, and 2.3 change MUST to CAN and permit any compliant simple link (cf. 5.2 of the </w:t>
      </w:r>
      <w:proofErr w:type="spellStart"/>
      <w:r w:rsidRPr="005C3F1D">
        <w:rPr>
          <w:lang w:val="en-US"/>
        </w:rPr>
        <w:t>XLink</w:t>
      </w:r>
      <w:proofErr w:type="spellEnd"/>
      <w:r w:rsidRPr="005C3F1D">
        <w:rPr>
          <w:lang w:val="en-US"/>
        </w:rPr>
        <w:t xml:space="preserve"> specification) that uniquely identifies a target document or a fragment thereof.  In order to do this </w:t>
      </w:r>
      <w:proofErr w:type="spellStart"/>
      <w:r w:rsidRPr="005C3F1D">
        <w:rPr>
          <w:lang w:val="en-US"/>
        </w:rPr>
        <w:t>allign</w:t>
      </w:r>
      <w:proofErr w:type="spellEnd"/>
      <w:r w:rsidRPr="005C3F1D">
        <w:rPr>
          <w:lang w:val="en-US"/>
        </w:rPr>
        <w:t xml:space="preserve"> the definition of the </w:t>
      </w:r>
      <w:proofErr w:type="spellStart"/>
      <w:r w:rsidRPr="005C3F1D">
        <w:rPr>
          <w:lang w:val="en-US"/>
        </w:rPr>
        <w:t>href</w:t>
      </w:r>
      <w:proofErr w:type="spellEnd"/>
      <w:r w:rsidRPr="005C3F1D">
        <w:rPr>
          <w:lang w:val="en-US"/>
        </w:rPr>
        <w:t xml:space="preserve"> attribute with the </w:t>
      </w:r>
      <w:proofErr w:type="spellStart"/>
      <w:r w:rsidRPr="005C3F1D">
        <w:rPr>
          <w:lang w:val="en-US"/>
        </w:rPr>
        <w:t>XLink</w:t>
      </w:r>
      <w:proofErr w:type="spellEnd"/>
      <w:r w:rsidRPr="005C3F1D">
        <w:rPr>
          <w:lang w:val="en-US"/>
        </w:rPr>
        <w:t xml:space="preserve"> 1.1 definition of the corresponding attribute </w:t>
      </w:r>
      <w:proofErr w:type="spellStart"/>
      <w:r w:rsidRPr="005C3F1D">
        <w:rPr>
          <w:lang w:val="en-US"/>
        </w:rPr>
        <w:t>xlink</w:t>
      </w:r>
      <w:proofErr w:type="gramStart"/>
      <w:r w:rsidRPr="005C3F1D">
        <w:rPr>
          <w:lang w:val="en-US"/>
        </w:rPr>
        <w:t>:href</w:t>
      </w:r>
      <w:proofErr w:type="spellEnd"/>
      <w:proofErr w:type="gramEnd"/>
      <w:r w:rsidRPr="005C3F1D">
        <w:rPr>
          <w:lang w:val="en-US"/>
        </w:rPr>
        <w:t xml:space="preserve"> (cf. 5.4,  </w:t>
      </w:r>
      <w:hyperlink r:id="rId6" w:anchor="link-locators">
        <w:r w:rsidRPr="005C3F1D">
          <w:rPr>
            <w:color w:val="0000FF"/>
            <w:u w:val="single"/>
            <w:lang w:val="en-US"/>
          </w:rPr>
          <w:t>https://www.w3.org/TR/xlink11/#link-locators</w:t>
        </w:r>
      </w:hyperlink>
      <w:r w:rsidRPr="005C3F1D">
        <w:rPr>
          <w:lang w:val="en-US"/>
        </w:rPr>
        <w:t xml:space="preserve">). </w:t>
      </w:r>
    </w:p>
    <w:sectPr w:rsidR="007E4FBE" w:rsidRPr="005C3F1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Mon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3B3"/>
    <w:multiLevelType w:val="multilevel"/>
    <w:tmpl w:val="49D25484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4FBE"/>
    <w:rsid w:val="0026086A"/>
    <w:rsid w:val="005C3F1D"/>
    <w:rsid w:val="007E4FBE"/>
    <w:rsid w:val="00D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TR/xlink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KUSTER Marc (OP)</cp:lastModifiedBy>
  <cp:revision>4</cp:revision>
  <dcterms:created xsi:type="dcterms:W3CDTF">2016-06-20T17:19:00Z</dcterms:created>
  <dcterms:modified xsi:type="dcterms:W3CDTF">2016-06-20T17:25:00Z</dcterms:modified>
</cp:coreProperties>
</file>