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25" w:rsidRPr="00C533D8" w:rsidRDefault="00C614D8">
      <w:pPr>
        <w:rPr>
          <w:u w:val="single"/>
        </w:rPr>
      </w:pPr>
      <w:r w:rsidRPr="00C533D8">
        <w:rPr>
          <w:u w:val="single"/>
        </w:rPr>
        <w:t>To whom it may concern</w:t>
      </w:r>
    </w:p>
    <w:p w:rsidR="00C614D8" w:rsidRPr="00C533D8" w:rsidRDefault="00C614D8" w:rsidP="000200D3">
      <w:pPr>
        <w:pStyle w:val="PlainText"/>
        <w:rPr>
          <w:rFonts w:asciiTheme="minorHAnsi" w:hAnsiTheme="minorHAnsi"/>
          <w:sz w:val="22"/>
          <w:szCs w:val="22"/>
        </w:rPr>
      </w:pPr>
      <w:r w:rsidRPr="00C533D8">
        <w:rPr>
          <w:rFonts w:asciiTheme="minorHAnsi" w:hAnsiTheme="minorHAnsi"/>
          <w:sz w:val="22"/>
          <w:szCs w:val="22"/>
        </w:rPr>
        <w:t xml:space="preserve">The purpose of this “statement of use” is to explain how the </w:t>
      </w:r>
      <w:r w:rsidR="00201AE6">
        <w:rPr>
          <w:rFonts w:asciiTheme="minorHAnsi" w:hAnsiTheme="minorHAnsi"/>
          <w:sz w:val="22"/>
          <w:szCs w:val="22"/>
        </w:rPr>
        <w:t>government of South Australia</w:t>
      </w:r>
      <w:r w:rsidRPr="00C533D8">
        <w:rPr>
          <w:rFonts w:asciiTheme="minorHAnsi" w:hAnsiTheme="minorHAnsi"/>
          <w:sz w:val="22"/>
          <w:szCs w:val="22"/>
        </w:rPr>
        <w:t xml:space="preserve"> has worked with consulting firm CS Transform Limited to deploy key elements of the Transformational Government Framework (TGF) in helping to shape and deliver our strategy</w:t>
      </w:r>
      <w:r w:rsidR="00201AE6">
        <w:rPr>
          <w:rFonts w:asciiTheme="minorHAnsi" w:hAnsiTheme="minorHAnsi"/>
          <w:sz w:val="22"/>
          <w:szCs w:val="22"/>
        </w:rPr>
        <w:t xml:space="preserve"> for citizen-centric service transformation</w:t>
      </w:r>
      <w:r w:rsidRPr="00C533D8">
        <w:rPr>
          <w:rFonts w:asciiTheme="minorHAnsi" w:hAnsiTheme="minorHAnsi"/>
          <w:sz w:val="22"/>
          <w:szCs w:val="22"/>
        </w:rPr>
        <w:t>.  References to the TGF are to the TGF Pattern Language Core Patterns Version 1.0 Committee Specification 01 dated 11 January 2012.</w:t>
      </w:r>
    </w:p>
    <w:p w:rsidR="00C614D8" w:rsidRPr="00C533D8" w:rsidRDefault="00C614D8" w:rsidP="000200D3">
      <w:pPr>
        <w:pStyle w:val="PlainText"/>
        <w:rPr>
          <w:rFonts w:asciiTheme="minorHAnsi" w:hAnsiTheme="minorHAnsi"/>
          <w:sz w:val="22"/>
          <w:szCs w:val="22"/>
        </w:rPr>
      </w:pPr>
    </w:p>
    <w:p w:rsidR="00456090" w:rsidRPr="00456090" w:rsidRDefault="00456090" w:rsidP="000200D3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</w:t>
      </w:r>
      <w:r w:rsidRPr="00456090">
        <w:rPr>
          <w:rFonts w:eastAsia="Times New Roman" w:cstheme="minorHAnsi"/>
          <w:lang w:eastAsia="en-GB"/>
        </w:rPr>
        <w:t>he Government of South Australia</w:t>
      </w:r>
      <w:r>
        <w:rPr>
          <w:rFonts w:eastAsia="Times New Roman" w:cstheme="minorHAnsi"/>
          <w:lang w:eastAsia="en-GB"/>
        </w:rPr>
        <w:t>’s ICT s</w:t>
      </w:r>
      <w:r w:rsidR="008F515E">
        <w:rPr>
          <w:rFonts w:eastAsia="Times New Roman" w:cstheme="minorHAnsi"/>
          <w:lang w:eastAsia="en-GB"/>
        </w:rPr>
        <w:t>t</w:t>
      </w:r>
      <w:r w:rsidRPr="00456090">
        <w:rPr>
          <w:rFonts w:eastAsia="Times New Roman" w:cstheme="minorHAnsi"/>
          <w:lang w:eastAsia="en-GB"/>
        </w:rPr>
        <w:t>rategy, called ‘Ask Just Once’</w:t>
      </w:r>
      <w:r>
        <w:rPr>
          <w:rFonts w:eastAsia="Times New Roman" w:cstheme="minorHAnsi"/>
          <w:lang w:eastAsia="en-GB"/>
        </w:rPr>
        <w:t xml:space="preserve">, aims </w:t>
      </w:r>
      <w:r w:rsidRPr="00456090">
        <w:rPr>
          <w:rFonts w:eastAsia="Times New Roman" w:cstheme="minorHAnsi"/>
          <w:lang w:eastAsia="en-GB"/>
        </w:rPr>
        <w:t xml:space="preserve">to transform </w:t>
      </w:r>
      <w:r>
        <w:rPr>
          <w:rFonts w:eastAsia="Times New Roman" w:cstheme="minorHAnsi"/>
          <w:lang w:eastAsia="en-GB"/>
        </w:rPr>
        <w:t>our</w:t>
      </w:r>
      <w:r w:rsidRPr="00456090">
        <w:rPr>
          <w:rFonts w:eastAsia="Times New Roman" w:cstheme="minorHAnsi"/>
          <w:lang w:eastAsia="en-GB"/>
        </w:rPr>
        <w:t xml:space="preserve"> entire government service delivery mechanisms.</w:t>
      </w:r>
      <w:r>
        <w:rPr>
          <w:rFonts w:eastAsia="Times New Roman" w:cstheme="minorHAnsi"/>
          <w:lang w:eastAsia="en-GB"/>
        </w:rPr>
        <w:t xml:space="preserve">  </w:t>
      </w:r>
      <w:r w:rsidRPr="00456090">
        <w:rPr>
          <w:rFonts w:eastAsia="Times New Roman" w:cstheme="minorHAnsi"/>
          <w:lang w:eastAsia="en-GB"/>
        </w:rPr>
        <w:t>‘Ask Just Once’ is about improving service delivery - especially for citizens most in need of support</w:t>
      </w:r>
      <w:r>
        <w:rPr>
          <w:rFonts w:eastAsia="Times New Roman" w:cstheme="minorHAnsi"/>
          <w:lang w:eastAsia="en-GB"/>
        </w:rPr>
        <w:t xml:space="preserve">, and </w:t>
      </w:r>
      <w:r w:rsidRPr="00456090">
        <w:rPr>
          <w:rFonts w:eastAsia="Times New Roman" w:cstheme="minorHAnsi"/>
          <w:lang w:eastAsia="en-GB"/>
        </w:rPr>
        <w:t>improv</w:t>
      </w:r>
      <w:r>
        <w:rPr>
          <w:rFonts w:eastAsia="Times New Roman" w:cstheme="minorHAnsi"/>
          <w:lang w:eastAsia="en-GB"/>
        </w:rPr>
        <w:t>ing</w:t>
      </w:r>
      <w:r w:rsidRPr="00456090">
        <w:rPr>
          <w:rFonts w:eastAsia="Times New Roman" w:cstheme="minorHAnsi"/>
          <w:lang w:eastAsia="en-GB"/>
        </w:rPr>
        <w:t xml:space="preserve"> efficiency</w:t>
      </w:r>
      <w:r>
        <w:rPr>
          <w:rFonts w:eastAsia="Times New Roman" w:cstheme="minorHAnsi"/>
          <w:lang w:eastAsia="en-GB"/>
        </w:rPr>
        <w:t xml:space="preserve"> -</w:t>
      </w:r>
      <w:r w:rsidRPr="00456090">
        <w:rPr>
          <w:rFonts w:eastAsia="Times New Roman" w:cstheme="minorHAnsi"/>
          <w:lang w:eastAsia="en-GB"/>
        </w:rPr>
        <w:t xml:space="preserve"> for example by shifting citizens to the lowest cost service delivery channel wherever possible. The strategy focuses on four priority areas; Channels and Access, Strengthen the Front-line, Shared Services and Enable Agile Government.</w:t>
      </w:r>
    </w:p>
    <w:p w:rsidR="00456090" w:rsidRPr="00456090" w:rsidRDefault="00456090" w:rsidP="000200D3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:rsidR="00456090" w:rsidRDefault="008F515E" w:rsidP="000200D3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Early on in </w:t>
      </w:r>
      <w:r w:rsidR="00456090" w:rsidRPr="00456090">
        <w:rPr>
          <w:rFonts w:eastAsia="Times New Roman" w:cstheme="minorHAnsi"/>
          <w:lang w:eastAsia="en-GB"/>
        </w:rPr>
        <w:t xml:space="preserve">this transformation process, </w:t>
      </w:r>
      <w:r w:rsidR="00456090">
        <w:rPr>
          <w:rFonts w:eastAsia="Times New Roman" w:cstheme="minorHAnsi"/>
          <w:lang w:eastAsia="en-GB"/>
        </w:rPr>
        <w:t>we</w:t>
      </w:r>
      <w:r w:rsidR="00456090" w:rsidRPr="00456090">
        <w:rPr>
          <w:rFonts w:eastAsia="Times New Roman" w:cstheme="minorHAnsi"/>
          <w:lang w:eastAsia="en-GB"/>
        </w:rPr>
        <w:t xml:space="preserve"> realised that </w:t>
      </w:r>
      <w:r w:rsidR="00456090">
        <w:rPr>
          <w:rFonts w:eastAsia="Times New Roman" w:cstheme="minorHAnsi"/>
          <w:lang w:eastAsia="en-GB"/>
        </w:rPr>
        <w:t>we needed to</w:t>
      </w:r>
      <w:r w:rsidR="00456090" w:rsidRPr="00456090">
        <w:rPr>
          <w:rFonts w:eastAsia="Times New Roman" w:cstheme="minorHAnsi"/>
          <w:lang w:eastAsia="en-GB"/>
        </w:rPr>
        <w:t xml:space="preserve"> address the fundamental business model </w:t>
      </w:r>
      <w:r w:rsidR="00456090">
        <w:rPr>
          <w:rFonts w:eastAsia="Times New Roman" w:cstheme="minorHAnsi"/>
          <w:lang w:eastAsia="en-GB"/>
        </w:rPr>
        <w:t>through which our agencies work together, in order that the</w:t>
      </w:r>
      <w:r w:rsidR="00456090" w:rsidRPr="00456090">
        <w:rPr>
          <w:rFonts w:eastAsia="Times New Roman" w:cstheme="minorHAnsi"/>
          <w:lang w:eastAsia="en-GB"/>
        </w:rPr>
        <w:t xml:space="preserve"> agency siloes </w:t>
      </w:r>
      <w:r w:rsidR="00456090">
        <w:rPr>
          <w:rFonts w:eastAsia="Times New Roman" w:cstheme="minorHAnsi"/>
          <w:lang w:eastAsia="en-GB"/>
        </w:rPr>
        <w:t>could deliver</w:t>
      </w:r>
      <w:r w:rsidR="00456090" w:rsidRPr="00456090">
        <w:rPr>
          <w:rFonts w:eastAsia="Times New Roman" w:cstheme="minorHAnsi"/>
          <w:lang w:eastAsia="en-GB"/>
        </w:rPr>
        <w:t xml:space="preserve"> truly citizen-centric services.  </w:t>
      </w:r>
      <w:r w:rsidR="00456090">
        <w:rPr>
          <w:rFonts w:eastAsia="Times New Roman" w:cstheme="minorHAnsi"/>
          <w:lang w:eastAsia="en-GB"/>
        </w:rPr>
        <w:t>We worked with the consultancy firm CS Transform Limited to do this, developing a roadmap to implement t</w:t>
      </w:r>
      <w:r w:rsidR="00456090" w:rsidRPr="00456090">
        <w:rPr>
          <w:rFonts w:eastAsia="Times New Roman" w:cstheme="minorHAnsi"/>
          <w:lang w:eastAsia="en-GB"/>
        </w:rPr>
        <w:t xml:space="preserve">he ‘Franchise Marketplace solution’ </w:t>
      </w:r>
      <w:r w:rsidR="00456090">
        <w:rPr>
          <w:rFonts w:eastAsia="Times New Roman" w:cstheme="minorHAnsi"/>
          <w:lang w:eastAsia="en-GB"/>
        </w:rPr>
        <w:t xml:space="preserve">recommended by the </w:t>
      </w:r>
      <w:r w:rsidR="00456090" w:rsidRPr="00456090">
        <w:rPr>
          <w:rFonts w:eastAsia="Times New Roman" w:cstheme="minorHAnsi"/>
          <w:lang w:eastAsia="en-GB"/>
        </w:rPr>
        <w:t>OASIS Transformational Government Framework</w:t>
      </w:r>
      <w:r w:rsidR="00456090">
        <w:rPr>
          <w:rFonts w:eastAsia="Times New Roman" w:cstheme="minorHAnsi"/>
          <w:lang w:eastAsia="en-GB"/>
        </w:rPr>
        <w:t xml:space="preserve">.  </w:t>
      </w:r>
      <w:r w:rsidR="00456090" w:rsidRPr="00456090">
        <w:rPr>
          <w:rFonts w:eastAsia="Times New Roman" w:cstheme="minorHAnsi"/>
          <w:lang w:eastAsia="en-GB"/>
        </w:rPr>
        <w:t xml:space="preserve"> </w:t>
      </w:r>
    </w:p>
    <w:p w:rsidR="00456090" w:rsidRDefault="00456090" w:rsidP="000200D3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:rsidR="00456090" w:rsidRDefault="00456090" w:rsidP="000200D3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In developing and delivering this, we have drawn on methodologies and best practices now brought together in the TGF.  Specifically, we believe that we are now conformant with:</w:t>
      </w:r>
    </w:p>
    <w:p w:rsidR="00456090" w:rsidRDefault="00456090" w:rsidP="000200D3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:rsidR="00456090" w:rsidRDefault="00456090" w:rsidP="000200D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TGF Core Pattern </w:t>
      </w:r>
      <w:r w:rsidRPr="00456090">
        <w:rPr>
          <w:rFonts w:asciiTheme="minorHAnsi" w:hAnsiTheme="minorHAnsi"/>
          <w:sz w:val="22"/>
          <w:szCs w:val="22"/>
        </w:rPr>
        <w:t xml:space="preserve">[1] Guiding Principles </w:t>
      </w:r>
    </w:p>
    <w:p w:rsidR="00456090" w:rsidRDefault="00456090" w:rsidP="000200D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TGF Core Pattern </w:t>
      </w:r>
      <w:r w:rsidRPr="00456090">
        <w:rPr>
          <w:rFonts w:asciiTheme="minorHAnsi" w:hAnsiTheme="minorHAnsi"/>
          <w:sz w:val="22"/>
          <w:szCs w:val="22"/>
        </w:rPr>
        <w:t xml:space="preserve">[2] Program Leadership </w:t>
      </w:r>
    </w:p>
    <w:p w:rsidR="00456090" w:rsidRPr="00456090" w:rsidRDefault="00456090" w:rsidP="000200D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TGF Core Pattern </w:t>
      </w:r>
      <w:r w:rsidRPr="00456090">
        <w:rPr>
          <w:rFonts w:asciiTheme="minorHAnsi" w:hAnsiTheme="minorHAnsi"/>
          <w:sz w:val="22"/>
          <w:szCs w:val="22"/>
        </w:rPr>
        <w:t xml:space="preserve">[3] Engagement with Stakeholders </w:t>
      </w:r>
    </w:p>
    <w:p w:rsidR="00456090" w:rsidRDefault="00456090" w:rsidP="000200D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TGF Core Pattern [4] </w:t>
      </w:r>
      <w:r w:rsidRPr="00456090">
        <w:rPr>
          <w:rFonts w:asciiTheme="minorHAnsi" w:hAnsiTheme="minorHAnsi"/>
          <w:sz w:val="22"/>
          <w:szCs w:val="22"/>
        </w:rPr>
        <w:t xml:space="preserve">Common Terminology and Reference Model </w:t>
      </w:r>
    </w:p>
    <w:p w:rsidR="00456090" w:rsidRDefault="00456090" w:rsidP="000200D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TGF Core Pattern </w:t>
      </w:r>
      <w:r w:rsidR="000200D3">
        <w:rPr>
          <w:rFonts w:asciiTheme="minorHAnsi" w:hAnsiTheme="minorHAnsi"/>
          <w:sz w:val="22"/>
          <w:szCs w:val="22"/>
        </w:rPr>
        <w:t xml:space="preserve">[6] </w:t>
      </w:r>
      <w:r w:rsidRPr="00456090">
        <w:rPr>
          <w:rFonts w:asciiTheme="minorHAnsi" w:hAnsiTheme="minorHAnsi"/>
          <w:sz w:val="22"/>
          <w:szCs w:val="22"/>
        </w:rPr>
        <w:t xml:space="preserve">Transformational Business Model </w:t>
      </w:r>
    </w:p>
    <w:p w:rsidR="000200D3" w:rsidRDefault="000200D3" w:rsidP="000200D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TGF Core Pattern </w:t>
      </w:r>
      <w:r w:rsidR="00456090" w:rsidRPr="00456090">
        <w:rPr>
          <w:rFonts w:asciiTheme="minorHAnsi" w:hAnsiTheme="minorHAnsi"/>
          <w:sz w:val="22"/>
          <w:szCs w:val="22"/>
        </w:rPr>
        <w:t xml:space="preserve">[7] Franchise Marketplace </w:t>
      </w:r>
    </w:p>
    <w:p w:rsidR="00456090" w:rsidRDefault="000200D3" w:rsidP="000200D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TGF Core Pattern </w:t>
      </w:r>
      <w:r w:rsidR="00456090" w:rsidRPr="00456090">
        <w:rPr>
          <w:rFonts w:asciiTheme="minorHAnsi" w:hAnsiTheme="minorHAnsi"/>
          <w:sz w:val="22"/>
          <w:szCs w:val="22"/>
        </w:rPr>
        <w:t xml:space="preserve">[8] Roadmap for Transformation </w:t>
      </w:r>
    </w:p>
    <w:p w:rsidR="00456090" w:rsidRPr="00456090" w:rsidRDefault="000200D3" w:rsidP="000200D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TGF Core Pattern </w:t>
      </w:r>
      <w:r w:rsidR="00456090" w:rsidRPr="00456090">
        <w:rPr>
          <w:rFonts w:asciiTheme="minorHAnsi" w:hAnsiTheme="minorHAnsi"/>
          <w:sz w:val="22"/>
          <w:szCs w:val="22"/>
        </w:rPr>
        <w:t xml:space="preserve">[9] Brand-Led Service Delivery </w:t>
      </w:r>
    </w:p>
    <w:p w:rsidR="00456090" w:rsidRDefault="000200D3" w:rsidP="000200D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TGF Core Pattern [</w:t>
      </w:r>
      <w:r w:rsidR="00456090" w:rsidRPr="00456090">
        <w:rPr>
          <w:rFonts w:asciiTheme="minorHAnsi" w:hAnsiTheme="minorHAnsi"/>
          <w:sz w:val="22"/>
          <w:szCs w:val="22"/>
        </w:rPr>
        <w:t xml:space="preserve">10] </w:t>
      </w:r>
      <w:r>
        <w:rPr>
          <w:rFonts w:asciiTheme="minorHAnsi" w:hAnsiTheme="minorHAnsi"/>
          <w:sz w:val="22"/>
          <w:szCs w:val="22"/>
        </w:rPr>
        <w:t xml:space="preserve">Stakeholder </w:t>
      </w:r>
      <w:r w:rsidR="00456090" w:rsidRPr="00456090">
        <w:rPr>
          <w:rFonts w:asciiTheme="minorHAnsi" w:hAnsiTheme="minorHAnsi"/>
          <w:sz w:val="22"/>
          <w:szCs w:val="22"/>
        </w:rPr>
        <w:t xml:space="preserve">Empowerment </w:t>
      </w:r>
    </w:p>
    <w:p w:rsidR="00456090" w:rsidRDefault="000200D3" w:rsidP="000200D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TGF Core Pattern </w:t>
      </w:r>
      <w:r w:rsidR="00456090" w:rsidRPr="00456090">
        <w:rPr>
          <w:rFonts w:asciiTheme="minorHAnsi" w:hAnsiTheme="minorHAnsi"/>
          <w:sz w:val="22"/>
          <w:szCs w:val="22"/>
        </w:rPr>
        <w:t xml:space="preserve">[12] Channel Management Framework </w:t>
      </w:r>
    </w:p>
    <w:p w:rsidR="00456090" w:rsidRDefault="000200D3" w:rsidP="000200D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TGF Core Pattern </w:t>
      </w:r>
      <w:r w:rsidR="00456090" w:rsidRPr="00456090">
        <w:rPr>
          <w:rFonts w:asciiTheme="minorHAnsi" w:hAnsiTheme="minorHAnsi"/>
          <w:sz w:val="22"/>
          <w:szCs w:val="22"/>
        </w:rPr>
        <w:t xml:space="preserve">[13] Channel Mapping </w:t>
      </w:r>
    </w:p>
    <w:p w:rsidR="00456090" w:rsidRPr="00456090" w:rsidRDefault="000200D3" w:rsidP="000200D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TGF Core Pattern [14] Channel T</w:t>
      </w:r>
      <w:r w:rsidR="00456090" w:rsidRPr="00456090">
        <w:rPr>
          <w:rFonts w:asciiTheme="minorHAnsi" w:hAnsiTheme="minorHAnsi"/>
          <w:sz w:val="22"/>
          <w:szCs w:val="22"/>
        </w:rPr>
        <w:t xml:space="preserve">ransformation </w:t>
      </w:r>
    </w:p>
    <w:p w:rsidR="00456090" w:rsidRPr="00456090" w:rsidRDefault="000200D3" w:rsidP="000200D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TGF Core Pattern</w:t>
      </w:r>
      <w:r w:rsidRPr="0045609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[17] Critical Success F</w:t>
      </w:r>
      <w:r w:rsidR="00456090" w:rsidRPr="00456090">
        <w:rPr>
          <w:rFonts w:asciiTheme="minorHAnsi" w:hAnsiTheme="minorHAnsi"/>
          <w:sz w:val="22"/>
          <w:szCs w:val="22"/>
        </w:rPr>
        <w:t xml:space="preserve">actors </w:t>
      </w:r>
    </w:p>
    <w:p w:rsidR="00456090" w:rsidRPr="00456090" w:rsidRDefault="000200D3" w:rsidP="000200D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TGF Core Pattern [18] </w:t>
      </w:r>
      <w:r w:rsidR="00456090" w:rsidRPr="00456090">
        <w:rPr>
          <w:rFonts w:asciiTheme="minorHAnsi" w:hAnsiTheme="minorHAnsi"/>
          <w:sz w:val="22"/>
          <w:szCs w:val="22"/>
        </w:rPr>
        <w:t xml:space="preserve">Skills </w:t>
      </w:r>
    </w:p>
    <w:p w:rsidR="00456090" w:rsidRDefault="000200D3" w:rsidP="000200D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TGF Core Pattern</w:t>
      </w:r>
      <w:r w:rsidRPr="00456090">
        <w:rPr>
          <w:rFonts w:asciiTheme="minorHAnsi" w:hAnsiTheme="minorHAnsi"/>
          <w:sz w:val="22"/>
          <w:szCs w:val="22"/>
        </w:rPr>
        <w:t xml:space="preserve"> </w:t>
      </w:r>
      <w:r w:rsidR="00456090" w:rsidRPr="00456090">
        <w:rPr>
          <w:rFonts w:asciiTheme="minorHAnsi" w:hAnsiTheme="minorHAnsi"/>
          <w:sz w:val="22"/>
          <w:szCs w:val="22"/>
        </w:rPr>
        <w:t xml:space="preserve">[20] Benefits realization </w:t>
      </w:r>
    </w:p>
    <w:p w:rsidR="000200D3" w:rsidRDefault="000200D3" w:rsidP="000200D3">
      <w:pPr>
        <w:pStyle w:val="Default"/>
        <w:rPr>
          <w:rFonts w:eastAsia="Times New Roman" w:cstheme="minorHAnsi"/>
          <w:lang w:eastAsia="en-GB"/>
        </w:rPr>
      </w:pPr>
    </w:p>
    <w:p w:rsidR="00456090" w:rsidRPr="00456090" w:rsidRDefault="00456090" w:rsidP="000200D3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456090">
        <w:rPr>
          <w:rFonts w:eastAsia="Times New Roman" w:cstheme="minorHAnsi"/>
          <w:lang w:eastAsia="en-GB"/>
        </w:rPr>
        <w:t xml:space="preserve">The results within the last three years speak for themselves.  </w:t>
      </w:r>
      <w:r w:rsidR="000200D3">
        <w:rPr>
          <w:rFonts w:eastAsia="Times New Roman" w:cstheme="minorHAnsi"/>
          <w:lang w:eastAsia="en-GB"/>
        </w:rPr>
        <w:t>Our</w:t>
      </w:r>
      <w:r w:rsidRPr="00456090">
        <w:rPr>
          <w:rFonts w:eastAsia="Times New Roman" w:cstheme="minorHAnsi"/>
          <w:lang w:eastAsia="en-GB"/>
        </w:rPr>
        <w:t xml:space="preserve"> citizen-facing portal, sa.gov.au, has been incredibly successful at meeting the strategy objectives</w:t>
      </w:r>
      <w:r w:rsidR="000200D3">
        <w:rPr>
          <w:rFonts w:eastAsia="Times New Roman" w:cstheme="minorHAnsi"/>
          <w:lang w:eastAsia="en-GB"/>
        </w:rPr>
        <w:t xml:space="preserve"> for higher take-up and higher customer </w:t>
      </w:r>
      <w:proofErr w:type="spellStart"/>
      <w:r w:rsidR="000200D3">
        <w:rPr>
          <w:rFonts w:eastAsia="Times New Roman" w:cstheme="minorHAnsi"/>
          <w:lang w:eastAsia="en-GB"/>
        </w:rPr>
        <w:t>satsfaction</w:t>
      </w:r>
      <w:proofErr w:type="spellEnd"/>
      <w:r w:rsidRPr="00456090">
        <w:rPr>
          <w:rFonts w:eastAsia="Times New Roman" w:cstheme="minorHAnsi"/>
          <w:lang w:eastAsia="en-GB"/>
        </w:rPr>
        <w:t>.  It has provided the foundation for effective multi-channel service delivery, and has won numerous awards including:</w:t>
      </w:r>
    </w:p>
    <w:p w:rsidR="00456090" w:rsidRDefault="00456090" w:rsidP="000200D3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  <w:lang w:eastAsia="en-GB"/>
        </w:rPr>
      </w:pPr>
      <w:r w:rsidRPr="00456090">
        <w:rPr>
          <w:rFonts w:asciiTheme="minorHAnsi" w:hAnsiTheme="minorHAnsi" w:cstheme="minorHAnsi"/>
          <w:sz w:val="22"/>
          <w:szCs w:val="22"/>
          <w:lang w:eastAsia="en-GB"/>
        </w:rPr>
        <w:t xml:space="preserve">2010 </w:t>
      </w:r>
      <w:proofErr w:type="spellStart"/>
      <w:r w:rsidRPr="00456090">
        <w:rPr>
          <w:rFonts w:asciiTheme="minorHAnsi" w:hAnsiTheme="minorHAnsi" w:cstheme="minorHAnsi"/>
          <w:sz w:val="22"/>
          <w:szCs w:val="22"/>
          <w:lang w:eastAsia="en-GB"/>
        </w:rPr>
        <w:t>eGovernment</w:t>
      </w:r>
      <w:proofErr w:type="spellEnd"/>
      <w:r w:rsidRPr="00456090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 w:rsidRPr="00456090">
        <w:rPr>
          <w:rFonts w:asciiTheme="minorHAnsi" w:hAnsiTheme="minorHAnsi" w:cstheme="minorHAnsi"/>
          <w:sz w:val="22"/>
          <w:szCs w:val="22"/>
          <w:lang w:eastAsia="en-GB"/>
        </w:rPr>
        <w:t>iAward</w:t>
      </w:r>
      <w:proofErr w:type="spellEnd"/>
      <w:r w:rsidRPr="00456090">
        <w:rPr>
          <w:rFonts w:asciiTheme="minorHAnsi" w:hAnsiTheme="minorHAnsi" w:cstheme="minorHAnsi"/>
          <w:sz w:val="22"/>
          <w:szCs w:val="22"/>
          <w:lang w:eastAsia="en-GB"/>
        </w:rPr>
        <w:t xml:space="preserve"> for innovation in delivery of services at the Australian Information Industry Asso</w:t>
      </w:r>
      <w:r w:rsidR="000200D3">
        <w:rPr>
          <w:rFonts w:asciiTheme="minorHAnsi" w:hAnsiTheme="minorHAnsi" w:cstheme="minorHAnsi"/>
          <w:sz w:val="22"/>
          <w:szCs w:val="22"/>
          <w:lang w:eastAsia="en-GB"/>
        </w:rPr>
        <w:t>ciation South Australian awards</w:t>
      </w:r>
    </w:p>
    <w:p w:rsidR="000200D3" w:rsidRPr="00456090" w:rsidRDefault="000200D3" w:rsidP="000200D3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  <w:lang w:eastAsia="en-GB"/>
        </w:rPr>
      </w:pPr>
      <w:r w:rsidRPr="00456090">
        <w:rPr>
          <w:rFonts w:asciiTheme="minorHAnsi" w:hAnsiTheme="minorHAnsi" w:cstheme="minorHAnsi"/>
          <w:sz w:val="22"/>
          <w:szCs w:val="22"/>
          <w:lang w:eastAsia="en-GB"/>
        </w:rPr>
        <w:t xml:space="preserve">2011 Public Sector Organisation of the Year (Oceania) at the </w:t>
      </w:r>
      <w:proofErr w:type="spellStart"/>
      <w:r w:rsidRPr="00456090">
        <w:rPr>
          <w:rFonts w:asciiTheme="minorHAnsi" w:hAnsiTheme="minorHAnsi" w:cstheme="minorHAnsi"/>
          <w:sz w:val="22"/>
          <w:szCs w:val="22"/>
          <w:lang w:eastAsia="en-GB"/>
        </w:rPr>
        <w:t>FutureGov</w:t>
      </w:r>
      <w:proofErr w:type="spellEnd"/>
      <w:r w:rsidRPr="00456090">
        <w:rPr>
          <w:rFonts w:asciiTheme="minorHAnsi" w:hAnsiTheme="minorHAnsi" w:cstheme="minorHAnsi"/>
          <w:sz w:val="22"/>
          <w:szCs w:val="22"/>
          <w:lang w:eastAsia="en-GB"/>
        </w:rPr>
        <w:t xml:space="preserve"> awards in Singapore</w:t>
      </w:r>
      <w:r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:rsidR="000200D3" w:rsidRPr="00456090" w:rsidRDefault="000200D3" w:rsidP="000200D3">
      <w:pPr>
        <w:pStyle w:val="ListParagraph"/>
        <w:shd w:val="clear" w:color="auto" w:fill="FFFFFF"/>
        <w:rPr>
          <w:rFonts w:asciiTheme="minorHAnsi" w:hAnsiTheme="minorHAnsi" w:cstheme="minorHAnsi"/>
          <w:sz w:val="22"/>
          <w:szCs w:val="22"/>
          <w:lang w:eastAsia="en-GB"/>
        </w:rPr>
      </w:pPr>
    </w:p>
    <w:p w:rsidR="0071057B" w:rsidRDefault="0071057B" w:rsidP="000200D3">
      <w:pPr>
        <w:spacing w:line="240" w:lineRule="auto"/>
      </w:pPr>
      <w:r>
        <w:t>Yours faithfully,</w:t>
      </w:r>
    </w:p>
    <w:p w:rsidR="00016B35" w:rsidRDefault="000200D3" w:rsidP="000200D3">
      <w:pPr>
        <w:pStyle w:val="NormalWeb"/>
        <w:rPr>
          <w:rFonts w:asciiTheme="minorHAnsi" w:hAnsiTheme="minorHAnsi" w:cs="Arial"/>
          <w:iCs/>
          <w:sz w:val="22"/>
        </w:rPr>
      </w:pPr>
      <w:r>
        <w:rPr>
          <w:rFonts w:asciiTheme="minorHAnsi" w:hAnsiTheme="minorHAnsi" w:cs="Arial"/>
          <w:iCs/>
          <w:sz w:val="22"/>
        </w:rPr>
        <w:t>Jan McConchie</w:t>
      </w:r>
      <w:bookmarkStart w:id="0" w:name="_GoBack"/>
      <w:bookmarkEnd w:id="0"/>
    </w:p>
    <w:sectPr w:rsidR="00016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6455C"/>
    <w:multiLevelType w:val="hybridMultilevel"/>
    <w:tmpl w:val="3E4A0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F0E22"/>
    <w:multiLevelType w:val="hybridMultilevel"/>
    <w:tmpl w:val="B470B5A6"/>
    <w:lvl w:ilvl="0" w:tplc="08090001">
      <w:start w:val="1"/>
      <w:numFmt w:val="bullet"/>
      <w:lvlText w:val=""/>
      <w:lvlJc w:val="left"/>
      <w:pPr>
        <w:ind w:left="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2" w15:restartNumberingAfterBreak="0">
    <w:nsid w:val="7E1E1A8C"/>
    <w:multiLevelType w:val="hybridMultilevel"/>
    <w:tmpl w:val="4CE45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F4"/>
    <w:rsid w:val="00016B35"/>
    <w:rsid w:val="000200D3"/>
    <w:rsid w:val="00106754"/>
    <w:rsid w:val="00117493"/>
    <w:rsid w:val="001322C6"/>
    <w:rsid w:val="001B17F4"/>
    <w:rsid w:val="00201AE6"/>
    <w:rsid w:val="003A1125"/>
    <w:rsid w:val="00456090"/>
    <w:rsid w:val="004F67F7"/>
    <w:rsid w:val="005F4EC0"/>
    <w:rsid w:val="006F0969"/>
    <w:rsid w:val="0071057B"/>
    <w:rsid w:val="00726AEF"/>
    <w:rsid w:val="008F515E"/>
    <w:rsid w:val="00BD0B6B"/>
    <w:rsid w:val="00C533D8"/>
    <w:rsid w:val="00C56C89"/>
    <w:rsid w:val="00C614D8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BB5AF-8215-4EAA-A4B8-1D284E3B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614D8"/>
    <w:pPr>
      <w:spacing w:after="0" w:line="240" w:lineRule="auto"/>
    </w:pPr>
    <w:rPr>
      <w:rFonts w:ascii="Consolas" w:hAnsi="Consolas" w:cs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14D8"/>
    <w:rPr>
      <w:rFonts w:ascii="Consolas" w:hAnsi="Consolas" w:cs="Consolas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C614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14D8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unhideWhenUsed/>
    <w:rsid w:val="00C614D8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5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Parker</cp:lastModifiedBy>
  <cp:revision>5</cp:revision>
  <dcterms:created xsi:type="dcterms:W3CDTF">2012-11-22T07:34:00Z</dcterms:created>
  <dcterms:modified xsi:type="dcterms:W3CDTF">2015-10-27T09:32:00Z</dcterms:modified>
</cp:coreProperties>
</file>