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D955E" w14:textId="77777777" w:rsidR="00C05329" w:rsidRPr="00C05329" w:rsidRDefault="00C05329" w:rsidP="00C0532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AMQP marketing approach</w:t>
      </w:r>
    </w:p>
    <w:p w14:paraId="0AA7F2DF" w14:textId="77777777" w:rsidR="00C05329" w:rsidRPr="00C05329" w:rsidRDefault="00C05329" w:rsidP="00C0532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Context/Constraints</w:t>
      </w:r>
    </w:p>
    <w:p w14:paraId="681CFF92" w14:textId="77777777" w:rsidR="00C05329" w:rsidRPr="00C05329" w:rsidRDefault="00C05329" w:rsidP="00C05329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Protocol dependent on success of adoption by an ecosystem of successful products</w:t>
      </w:r>
    </w:p>
    <w:p w14:paraId="3B856479" w14:textId="77777777" w:rsidR="00C05329" w:rsidRPr="00C05329" w:rsidRDefault="00C05329" w:rsidP="00C05329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Dependent on an Ecosystem of technology providers and consumers</w:t>
      </w:r>
    </w:p>
    <w:p w14:paraId="076C4709" w14:textId="77777777" w:rsidR="00C05329" w:rsidRPr="00C05329" w:rsidRDefault="00C05329" w:rsidP="00C05329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A protocol itself cannot be consumed directly but can be required by consumers and the market place</w:t>
      </w:r>
    </w:p>
    <w:p w14:paraId="5FEDC5E9" w14:textId="77777777" w:rsidR="00C05329" w:rsidRPr="00C05329" w:rsidRDefault="00C05329" w:rsidP="00C0532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Marketing Areas Focus</w:t>
      </w:r>
    </w:p>
    <w:p w14:paraId="3FCE6AD7" w14:textId="77777777" w:rsidR="00C05329" w:rsidRPr="00C05329" w:rsidRDefault="00C05329" w:rsidP="00C05329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 xml:space="preserve">Target </w:t>
      </w:r>
      <w:r>
        <w:rPr>
          <w:rFonts w:ascii="Arial" w:hAnsi="Arial" w:cs="Arial"/>
          <w:sz w:val="20"/>
          <w:szCs w:val="20"/>
        </w:rPr>
        <w:t>the market e</w:t>
      </w:r>
      <w:r w:rsidRPr="00C05329">
        <w:rPr>
          <w:rFonts w:ascii="Arial" w:hAnsi="Arial" w:cs="Arial"/>
          <w:sz w:val="20"/>
          <w:szCs w:val="20"/>
        </w:rPr>
        <w:t>cosystem</w:t>
      </w:r>
      <w:r>
        <w:rPr>
          <w:rFonts w:ascii="Arial" w:hAnsi="Arial" w:cs="Arial"/>
          <w:sz w:val="20"/>
          <w:szCs w:val="20"/>
        </w:rPr>
        <w:t>s and participants</w:t>
      </w:r>
      <w:r w:rsidRPr="00C05329">
        <w:rPr>
          <w:rFonts w:ascii="Arial" w:hAnsi="Arial" w:cs="Arial"/>
          <w:sz w:val="20"/>
          <w:szCs w:val="20"/>
        </w:rPr>
        <w:t xml:space="preserve"> on the value of standardized reliable async</w:t>
      </w:r>
      <w:r>
        <w:rPr>
          <w:rFonts w:ascii="Arial" w:hAnsi="Arial" w:cs="Arial"/>
          <w:sz w:val="20"/>
          <w:szCs w:val="20"/>
        </w:rPr>
        <w:t>hronous</w:t>
      </w:r>
      <w:r w:rsidRPr="00C05329">
        <w:rPr>
          <w:rFonts w:ascii="Arial" w:hAnsi="Arial" w:cs="Arial"/>
          <w:sz w:val="20"/>
          <w:szCs w:val="20"/>
        </w:rPr>
        <w:t xml:space="preserve"> messaging for:</w:t>
      </w:r>
    </w:p>
    <w:p w14:paraId="6CE582DC" w14:textId="77777777" w:rsidR="00C05329" w:rsidRPr="00C05329" w:rsidRDefault="00C05329" w:rsidP="00C0532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Reliability, scalability and efficiency</w:t>
      </w:r>
      <w:r w:rsidRPr="00C05329">
        <w:rPr>
          <w:rFonts w:ascii="Arial" w:hAnsi="Arial" w:cs="Arial"/>
          <w:sz w:val="20"/>
          <w:szCs w:val="20"/>
        </w:rPr>
        <w:t xml:space="preserve"> in Ser</w:t>
      </w:r>
      <w:r w:rsidR="00F30B35">
        <w:rPr>
          <w:rFonts w:ascii="Arial" w:hAnsi="Arial" w:cs="Arial"/>
          <w:sz w:val="20"/>
          <w:szCs w:val="20"/>
        </w:rPr>
        <w:t>vice Oriented Architectures</w:t>
      </w:r>
    </w:p>
    <w:p w14:paraId="3BDA1A13" w14:textId="77777777" w:rsidR="00C05329" w:rsidRPr="00C05329" w:rsidRDefault="00F30B35" w:rsidP="00C0532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and time to market in i</w:t>
      </w:r>
      <w:r w:rsidR="00C05329" w:rsidRPr="00C05329">
        <w:rPr>
          <w:rFonts w:ascii="Arial" w:hAnsi="Arial" w:cs="Arial"/>
          <w:sz w:val="20"/>
          <w:szCs w:val="20"/>
        </w:rPr>
        <w:t>nter-orga</w:t>
      </w:r>
      <w:r>
        <w:rPr>
          <w:rFonts w:ascii="Arial" w:hAnsi="Arial" w:cs="Arial"/>
          <w:sz w:val="20"/>
          <w:szCs w:val="20"/>
        </w:rPr>
        <w:t>nizational federations</w:t>
      </w:r>
      <w:r w:rsidR="00C05329" w:rsidRPr="00C05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within the emergent </w:t>
      </w:r>
      <w:r w:rsidR="00C05329" w:rsidRPr="00C05329">
        <w:rPr>
          <w:rFonts w:ascii="Arial" w:hAnsi="Arial" w:cs="Arial"/>
          <w:sz w:val="20"/>
          <w:szCs w:val="20"/>
        </w:rPr>
        <w:t>connected machine to machine business networks</w:t>
      </w:r>
    </w:p>
    <w:p w14:paraId="392710F6" w14:textId="77777777" w:rsidR="00C05329" w:rsidRPr="00C05329" w:rsidRDefault="00C05329" w:rsidP="00C0532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 xml:space="preserve">Market </w:t>
      </w:r>
      <w:r w:rsidR="00F30B35">
        <w:rPr>
          <w:rFonts w:ascii="Arial" w:hAnsi="Arial" w:cs="Arial"/>
          <w:sz w:val="20"/>
          <w:szCs w:val="20"/>
        </w:rPr>
        <w:t xml:space="preserve">transparence providing end to end market </w:t>
      </w:r>
      <w:r w:rsidRPr="00C05329">
        <w:rPr>
          <w:rFonts w:ascii="Arial" w:hAnsi="Arial" w:cs="Arial"/>
          <w:sz w:val="20"/>
          <w:szCs w:val="20"/>
        </w:rPr>
        <w:t>oversight and governance</w:t>
      </w:r>
    </w:p>
    <w:p w14:paraId="2AC280D7" w14:textId="77777777" w:rsidR="00C05329" w:rsidRPr="00C05329" w:rsidRDefault="00C05329" w:rsidP="00C05329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Target Consumers on the ability to build once connect to many strategy</w:t>
      </w:r>
    </w:p>
    <w:p w14:paraId="02D578EC" w14:textId="77777777" w:rsidR="00C05329" w:rsidRPr="00C05329" w:rsidRDefault="00C05329" w:rsidP="00C05329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Target Providers on</w:t>
      </w:r>
    </w:p>
    <w:p w14:paraId="528CADC8" w14:textId="77777777" w:rsidR="00C05329" w:rsidRPr="00C05329" w:rsidRDefault="00C05329" w:rsidP="00C0532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Internal value of messaging for reliability, sca</w:t>
      </w:r>
      <w:r w:rsidR="00E463A7">
        <w:rPr>
          <w:rFonts w:ascii="Arial" w:hAnsi="Arial" w:cs="Arial"/>
          <w:sz w:val="20"/>
          <w:szCs w:val="20"/>
        </w:rPr>
        <w:t>la</w:t>
      </w:r>
      <w:r w:rsidRPr="00C05329">
        <w:rPr>
          <w:rFonts w:ascii="Arial" w:hAnsi="Arial" w:cs="Arial"/>
          <w:sz w:val="20"/>
          <w:szCs w:val="20"/>
        </w:rPr>
        <w:t>bility and repeatability</w:t>
      </w:r>
    </w:p>
    <w:p w14:paraId="79F3A666" w14:textId="77777777" w:rsidR="00C05329" w:rsidRPr="00C05329" w:rsidRDefault="00C05329" w:rsidP="00C0532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External value of messaging for interoperability</w:t>
      </w:r>
    </w:p>
    <w:p w14:paraId="1343989C" w14:textId="77777777" w:rsidR="00C05329" w:rsidRPr="00C05329" w:rsidRDefault="00C05329" w:rsidP="00C05329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Target Governance and Regulatory participants of ability to gain standardized transparence and non-repudiation</w:t>
      </w:r>
    </w:p>
    <w:p w14:paraId="23424E66" w14:textId="77777777" w:rsidR="00C05329" w:rsidRPr="00C05329" w:rsidRDefault="00C05329" w:rsidP="00C05329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Marketing Strategy</w:t>
      </w:r>
    </w:p>
    <w:p w14:paraId="41C65B99" w14:textId="77777777" w:rsidR="00C05329" w:rsidRPr="00C05329" w:rsidRDefault="00C05329" w:rsidP="00C05329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Leverage Technology Providers as Channels</w:t>
      </w:r>
    </w:p>
    <w:p w14:paraId="71B4CD6D" w14:textId="77777777" w:rsidR="00C05329" w:rsidRPr="00C05329" w:rsidRDefault="00C05329" w:rsidP="00C0532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Elicit their needs for the common messaging</w:t>
      </w:r>
    </w:p>
    <w:p w14:paraId="4039CE6D" w14:textId="77777777" w:rsidR="00C05329" w:rsidRPr="00C05329" w:rsidRDefault="00C05329" w:rsidP="00C0532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Identify technology clusters that exploit AMQP as a connective medium</w:t>
      </w:r>
    </w:p>
    <w:p w14:paraId="04B100F2" w14:textId="79A46202" w:rsidR="00C05329" w:rsidRDefault="00C05329" w:rsidP="00C0532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Align marketing materials to and event participation</w:t>
      </w:r>
      <w:r w:rsidR="00717D15">
        <w:rPr>
          <w:rFonts w:ascii="Arial" w:hAnsi="Arial" w:cs="Arial"/>
          <w:sz w:val="20"/>
          <w:szCs w:val="20"/>
        </w:rPr>
        <w:t xml:space="preserve"> (evangelizes)</w:t>
      </w:r>
      <w:r w:rsidRPr="00C05329">
        <w:rPr>
          <w:rFonts w:ascii="Arial" w:hAnsi="Arial" w:cs="Arial"/>
          <w:sz w:val="20"/>
          <w:szCs w:val="20"/>
        </w:rPr>
        <w:t xml:space="preserve"> in their communities</w:t>
      </w:r>
    </w:p>
    <w:p w14:paraId="4421AB6E" w14:textId="5ABA7626" w:rsidR="00506660" w:rsidRPr="00C05329" w:rsidRDefault="00506660" w:rsidP="00506660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Engage Government and Regulatory Environments on the value proposition</w:t>
      </w:r>
      <w:bookmarkStart w:id="0" w:name="_GoBack"/>
      <w:bookmarkEnd w:id="0"/>
    </w:p>
    <w:p w14:paraId="157DF31F" w14:textId="77777777" w:rsidR="00C05329" w:rsidRPr="00C05329" w:rsidRDefault="00C05329" w:rsidP="00C05329">
      <w:pPr>
        <w:pStyle w:val="ListParagraph"/>
        <w:widowControl w:val="0"/>
        <w:numPr>
          <w:ilvl w:val="2"/>
          <w:numId w:val="7"/>
        </w:numPr>
        <w:autoSpaceDE w:val="0"/>
        <w:autoSpaceDN w:val="0"/>
        <w:adjustRightInd w:val="0"/>
        <w:outlineLvl w:val="2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Provide a rich digital/Web presence portraying a vibrant AMQP community and knowledge base by developing:</w:t>
      </w:r>
    </w:p>
    <w:p w14:paraId="1BE4B060" w14:textId="77777777" w:rsidR="00C05329" w:rsidRPr="00C05329" w:rsidRDefault="00C05329" w:rsidP="00C0532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Accessible explanatory/educational materials</w:t>
      </w:r>
    </w:p>
    <w:p w14:paraId="2F4F0A9F" w14:textId="77777777" w:rsidR="00C05329" w:rsidRPr="00C05329" w:rsidRDefault="00C05329" w:rsidP="00C05329">
      <w:pPr>
        <w:pStyle w:val="ListParagraph"/>
        <w:widowControl w:val="0"/>
        <w:numPr>
          <w:ilvl w:val="4"/>
          <w:numId w:val="7"/>
        </w:numPr>
        <w:autoSpaceDE w:val="0"/>
        <w:autoSpaceDN w:val="0"/>
        <w:adjustRightInd w:val="0"/>
        <w:outlineLvl w:val="4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Wikipedia</w:t>
      </w:r>
    </w:p>
    <w:p w14:paraId="06575500" w14:textId="77777777" w:rsidR="00C05329" w:rsidRDefault="00C05329" w:rsidP="00C05329">
      <w:pPr>
        <w:pStyle w:val="ListParagraph"/>
        <w:widowControl w:val="0"/>
        <w:numPr>
          <w:ilvl w:val="4"/>
          <w:numId w:val="7"/>
        </w:numPr>
        <w:autoSpaceDE w:val="0"/>
        <w:autoSpaceDN w:val="0"/>
        <w:adjustRightInd w:val="0"/>
        <w:outlineLvl w:val="4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FAQs</w:t>
      </w:r>
    </w:p>
    <w:p w14:paraId="5F648F4E" w14:textId="77777777" w:rsidR="00C05329" w:rsidRPr="00C05329" w:rsidRDefault="00C05329" w:rsidP="00C05329">
      <w:pPr>
        <w:pStyle w:val="ListParagraph"/>
        <w:widowControl w:val="0"/>
        <w:numPr>
          <w:ilvl w:val="4"/>
          <w:numId w:val="7"/>
        </w:numPr>
        <w:autoSpaceDE w:val="0"/>
        <w:autoSpaceDN w:val="0"/>
        <w:adjustRightInd w:val="0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Mailing Lists</w:t>
      </w:r>
    </w:p>
    <w:p w14:paraId="2FDA86EB" w14:textId="77777777" w:rsidR="00C05329" w:rsidRDefault="00C05329" w:rsidP="00C05329">
      <w:pPr>
        <w:pStyle w:val="ListParagraph"/>
        <w:widowControl w:val="0"/>
        <w:numPr>
          <w:ilvl w:val="4"/>
          <w:numId w:val="7"/>
        </w:numPr>
        <w:autoSpaceDE w:val="0"/>
        <w:autoSpaceDN w:val="0"/>
        <w:adjustRightInd w:val="0"/>
        <w:outlineLvl w:val="4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Use Case Scenarios</w:t>
      </w:r>
    </w:p>
    <w:p w14:paraId="6D76A834" w14:textId="77777777" w:rsidR="00C05329" w:rsidRDefault="00C05329" w:rsidP="00C05329">
      <w:pPr>
        <w:pStyle w:val="ListParagraph"/>
        <w:widowControl w:val="0"/>
        <w:numPr>
          <w:ilvl w:val="4"/>
          <w:numId w:val="7"/>
        </w:numPr>
        <w:autoSpaceDE w:val="0"/>
        <w:autoSpaceDN w:val="0"/>
        <w:adjustRightInd w:val="0"/>
        <w:outlineLvl w:val="4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Testimonials</w:t>
      </w:r>
    </w:p>
    <w:p w14:paraId="641AEADD" w14:textId="65FBC1F2" w:rsidR="00717D15" w:rsidRPr="00C05329" w:rsidRDefault="00717D15" w:rsidP="00C05329">
      <w:pPr>
        <w:pStyle w:val="ListParagraph"/>
        <w:widowControl w:val="0"/>
        <w:numPr>
          <w:ilvl w:val="4"/>
          <w:numId w:val="7"/>
        </w:numPr>
        <w:autoSpaceDE w:val="0"/>
        <w:autoSpaceDN w:val="0"/>
        <w:adjustRightInd w:val="0"/>
        <w:outlineLvl w:val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Journals/press</w:t>
      </w:r>
    </w:p>
    <w:p w14:paraId="7C1FD3FD" w14:textId="77777777" w:rsidR="00C05329" w:rsidRPr="00C05329" w:rsidRDefault="00C05329" w:rsidP="00C05329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outlineLvl w:val="3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Self-directed interactive participant engagement/acquisition</w:t>
      </w:r>
    </w:p>
    <w:p w14:paraId="6C148FE9" w14:textId="77777777" w:rsidR="00C05329" w:rsidRPr="00C05329" w:rsidRDefault="00C05329" w:rsidP="00C05329">
      <w:pPr>
        <w:pStyle w:val="ListParagraph"/>
        <w:widowControl w:val="0"/>
        <w:numPr>
          <w:ilvl w:val="4"/>
          <w:numId w:val="7"/>
        </w:numPr>
        <w:autoSpaceDE w:val="0"/>
        <w:autoSpaceDN w:val="0"/>
        <w:adjustRightInd w:val="0"/>
        <w:outlineLvl w:val="4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Tutorials</w:t>
      </w:r>
    </w:p>
    <w:p w14:paraId="6BE1D959" w14:textId="77777777" w:rsidR="00AD3D7A" w:rsidRPr="00C05329" w:rsidRDefault="00C05329" w:rsidP="00C05329">
      <w:pPr>
        <w:pStyle w:val="ListParagraph"/>
        <w:widowControl w:val="0"/>
        <w:numPr>
          <w:ilvl w:val="4"/>
          <w:numId w:val="7"/>
        </w:numPr>
        <w:autoSpaceDE w:val="0"/>
        <w:autoSpaceDN w:val="0"/>
        <w:adjustRightInd w:val="0"/>
        <w:outlineLvl w:val="4"/>
        <w:rPr>
          <w:rFonts w:ascii="Arial" w:hAnsi="Arial" w:cs="Arial"/>
          <w:sz w:val="20"/>
          <w:szCs w:val="20"/>
        </w:rPr>
      </w:pPr>
      <w:r w:rsidRPr="00C05329">
        <w:rPr>
          <w:rFonts w:ascii="Arial" w:hAnsi="Arial" w:cs="Arial"/>
          <w:sz w:val="20"/>
          <w:szCs w:val="20"/>
        </w:rPr>
        <w:t>Interoperability program - in lieu of certification</w:t>
      </w:r>
    </w:p>
    <w:p w14:paraId="525C2756" w14:textId="77777777" w:rsidR="00C05329" w:rsidRDefault="00C05329">
      <w:pPr>
        <w:rPr>
          <w:sz w:val="20"/>
          <w:szCs w:val="20"/>
        </w:rPr>
      </w:pPr>
    </w:p>
    <w:sectPr w:rsidR="00C05329" w:rsidSect="00C0532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DCD"/>
    <w:multiLevelType w:val="hybridMultilevel"/>
    <w:tmpl w:val="49DE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136F9"/>
    <w:multiLevelType w:val="hybridMultilevel"/>
    <w:tmpl w:val="19A88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2450A"/>
    <w:multiLevelType w:val="hybridMultilevel"/>
    <w:tmpl w:val="A38E2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A63683"/>
    <w:multiLevelType w:val="multilevel"/>
    <w:tmpl w:val="A38E210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C82852"/>
    <w:multiLevelType w:val="hybridMultilevel"/>
    <w:tmpl w:val="13002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0624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6B66B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29"/>
    <w:rsid w:val="003B0C61"/>
    <w:rsid w:val="00506660"/>
    <w:rsid w:val="00717D15"/>
    <w:rsid w:val="00AD3D7A"/>
    <w:rsid w:val="00B17E56"/>
    <w:rsid w:val="00C05329"/>
    <w:rsid w:val="00C647E7"/>
    <w:rsid w:val="00D074E9"/>
    <w:rsid w:val="00E463A7"/>
    <w:rsid w:val="00F30B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299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255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255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255</Words>
  <Characters>1457</Characters>
  <Application>Microsoft Macintosh Word</Application>
  <DocSecurity>0</DocSecurity>
  <Lines>12</Lines>
  <Paragraphs>3</Paragraphs>
  <ScaleCrop>false</ScaleCrop>
  <Company>UCSD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Arrott</dc:creator>
  <cp:keywords/>
  <dc:description/>
  <cp:lastModifiedBy>Matthew Arrott</cp:lastModifiedBy>
  <cp:revision>3</cp:revision>
  <dcterms:created xsi:type="dcterms:W3CDTF">2012-02-20T14:54:00Z</dcterms:created>
  <dcterms:modified xsi:type="dcterms:W3CDTF">2012-02-23T19:12:00Z</dcterms:modified>
</cp:coreProperties>
</file>