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DF" w:rsidRDefault="004161FA">
      <w:r>
        <w:rPr>
          <w:rFonts w:ascii="Helvetica" w:hAnsi="Helvetica" w:cs="FrankRuehl"/>
          <w:b/>
          <w:sz w:val="20"/>
        </w:rPr>
        <w:t>(1) Charter of the Technical Committee</w:t>
      </w:r>
    </w:p>
    <w:p w:rsidR="004E6CDF" w:rsidRDefault="004161FA">
      <w:r>
        <w:rPr>
          <w:rFonts w:ascii="Helvetica" w:eastAsia="Times New Roman" w:hAnsi="Helvetica" w:cs="Helvetica"/>
          <w:b/>
          <w:bCs/>
          <w:sz w:val="20"/>
          <w:szCs w:val="20"/>
        </w:rPr>
        <w:t>(a) Name of the TC</w:t>
      </w:r>
    </w:p>
    <w:p w:rsidR="004E6CDF" w:rsidRDefault="004161FA">
      <w:r>
        <w:rPr>
          <w:rFonts w:ascii="Helvetica" w:eastAsia="Times New Roman" w:hAnsi="Helvetica" w:cs="Helvetica"/>
          <w:sz w:val="20"/>
          <w:szCs w:val="20"/>
        </w:rPr>
        <w:t xml:space="preserve">OASIS </w:t>
      </w:r>
      <w:r w:rsidR="004A5681" w:rsidRPr="004A5681">
        <w:rPr>
          <w:rFonts w:ascii="Helvetica" w:eastAsia="Times New Roman" w:hAnsi="Helvetica" w:cs="Helvetica"/>
          <w:sz w:val="20"/>
          <w:szCs w:val="20"/>
        </w:rPr>
        <w:t>Advanced Message Queuing Protocol (AMQP)</w:t>
      </w:r>
      <w:r>
        <w:rPr>
          <w:rFonts w:ascii="Helvetica" w:eastAsia="Times New Roman" w:hAnsi="Helvetica" w:cs="Helvetica"/>
          <w:sz w:val="20"/>
          <w:szCs w:val="20"/>
        </w:rPr>
        <w:t xml:space="preserve"> Bindings and Mappings </w:t>
      </w:r>
      <w:r w:rsidR="004A5681">
        <w:rPr>
          <w:rFonts w:ascii="Helvetica" w:eastAsia="Times New Roman" w:hAnsi="Helvetica" w:cs="Helvetica"/>
          <w:sz w:val="20"/>
          <w:szCs w:val="20"/>
        </w:rPr>
        <w:t>Technical Committee</w:t>
      </w:r>
    </w:p>
    <w:p w:rsidR="004E6CDF" w:rsidRDefault="004161FA">
      <w:r>
        <w:rPr>
          <w:rFonts w:ascii="Helvetica" w:eastAsia="Times New Roman" w:hAnsi="Helvetica" w:cs="Helvetica"/>
          <w:b/>
          <w:bCs/>
          <w:sz w:val="20"/>
          <w:szCs w:val="20"/>
        </w:rPr>
        <w:t>(b) Statement of Purpose</w:t>
      </w:r>
    </w:p>
    <w:p w:rsidR="004E6CDF" w:rsidRDefault="004161FA">
      <w:r>
        <w:rPr>
          <w:rFonts w:ascii="Helvetica" w:eastAsia="Times New Roman" w:hAnsi="Helvetica" w:cs="Helvetica"/>
          <w:sz w:val="20"/>
          <w:szCs w:val="20"/>
        </w:rPr>
        <w:t xml:space="preserve">The purpose of the AMQP Bindings and Mappings TC is to define bindings of AMQP 1.0 core protocol [1] to underlying transports other than TCP, to define mappings of the AMQP 1.0 core protocol to existing well-known programming APIs, and to define representations of the AMQP </w:t>
      </w:r>
      <w:r w:rsidR="00582110">
        <w:rPr>
          <w:rFonts w:ascii="Helvetica" w:eastAsia="Times New Roman" w:hAnsi="Helvetica" w:cs="Helvetica"/>
          <w:sz w:val="20"/>
          <w:szCs w:val="20"/>
        </w:rPr>
        <w:t xml:space="preserve">1.0 </w:t>
      </w:r>
      <w:r>
        <w:rPr>
          <w:rFonts w:ascii="Helvetica" w:eastAsia="Times New Roman" w:hAnsi="Helvetica" w:cs="Helvetica"/>
          <w:sz w:val="20"/>
          <w:szCs w:val="20"/>
        </w:rPr>
        <w:t>message format in existing well-known languages. A binding of AMQP to an alternative transport MUST preserve the semantics associated with the pe</w:t>
      </w:r>
      <w:r w:rsidR="00582110">
        <w:rPr>
          <w:rFonts w:ascii="Helvetica" w:eastAsia="Times New Roman" w:hAnsi="Helvetica" w:cs="Helvetica"/>
          <w:sz w:val="20"/>
          <w:szCs w:val="20"/>
        </w:rPr>
        <w:t xml:space="preserve">rformatives defined in the </w:t>
      </w:r>
      <w:r>
        <w:rPr>
          <w:rFonts w:ascii="Helvetica" w:eastAsia="Times New Roman" w:hAnsi="Helvetica" w:cs="Helvetica"/>
          <w:sz w:val="20"/>
          <w:szCs w:val="20"/>
        </w:rPr>
        <w:t xml:space="preserve">AMQP </w:t>
      </w:r>
      <w:r w:rsidR="00582110">
        <w:rPr>
          <w:rFonts w:ascii="Helvetica" w:eastAsia="Times New Roman" w:hAnsi="Helvetica" w:cs="Helvetica"/>
          <w:sz w:val="20"/>
          <w:szCs w:val="20"/>
        </w:rPr>
        <w:t xml:space="preserve">1.0 </w:t>
      </w:r>
      <w:r>
        <w:rPr>
          <w:rFonts w:ascii="Helvetica" w:eastAsia="Times New Roman" w:hAnsi="Helvetica" w:cs="Helvetica"/>
          <w:sz w:val="20"/>
          <w:szCs w:val="20"/>
        </w:rPr>
        <w:t>specification</w:t>
      </w:r>
      <w:r w:rsidR="00582110">
        <w:rPr>
          <w:rFonts w:ascii="Helvetica" w:eastAsia="Times New Roman" w:hAnsi="Helvetica" w:cs="Helvetica"/>
          <w:sz w:val="20"/>
          <w:szCs w:val="20"/>
        </w:rPr>
        <w:t xml:space="preserve"> [1]</w:t>
      </w:r>
      <w:r>
        <w:rPr>
          <w:rFonts w:ascii="Helvetica" w:eastAsia="Times New Roman" w:hAnsi="Helvetica" w:cs="Helvetica"/>
          <w:sz w:val="20"/>
          <w:szCs w:val="20"/>
        </w:rPr>
        <w:t>, and MUST preserve the encoding of AMQP messages. A mapping of the core AMQP protocol to a</w:t>
      </w:r>
      <w:r w:rsidR="001D052D">
        <w:rPr>
          <w:rFonts w:ascii="Helvetica" w:eastAsia="Times New Roman" w:hAnsi="Helvetica" w:cs="Helvetica"/>
          <w:sz w:val="20"/>
          <w:szCs w:val="20"/>
        </w:rPr>
        <w:t>n</w:t>
      </w:r>
      <w:r>
        <w:rPr>
          <w:rFonts w:ascii="Helvetica" w:eastAsia="Times New Roman" w:hAnsi="Helvetica" w:cs="Helvetica"/>
          <w:sz w:val="20"/>
          <w:szCs w:val="20"/>
        </w:rPr>
        <w:t xml:space="preserve"> API MUST NOT rely on any extensio</w:t>
      </w:r>
      <w:r w:rsidR="00582110">
        <w:rPr>
          <w:rFonts w:ascii="Helvetica" w:eastAsia="Times New Roman" w:hAnsi="Helvetica" w:cs="Helvetica"/>
          <w:sz w:val="20"/>
          <w:szCs w:val="20"/>
        </w:rPr>
        <w:t>ns to the AMQP 1.0</w:t>
      </w:r>
      <w:r>
        <w:rPr>
          <w:rFonts w:ascii="Helvetica" w:eastAsia="Times New Roman" w:hAnsi="Helvetica" w:cs="Helvetica"/>
          <w:sz w:val="20"/>
          <w:szCs w:val="20"/>
        </w:rPr>
        <w:t xml:space="preserve"> specification</w:t>
      </w:r>
      <w:r w:rsidR="00582110">
        <w:rPr>
          <w:rFonts w:ascii="Helvetica" w:eastAsia="Times New Roman" w:hAnsi="Helvetica" w:cs="Helvetica"/>
          <w:sz w:val="20"/>
          <w:szCs w:val="20"/>
        </w:rPr>
        <w:t xml:space="preserve"> [1]</w:t>
      </w:r>
      <w:r>
        <w:rPr>
          <w:rFonts w:ascii="Helvetica" w:eastAsia="Times New Roman" w:hAnsi="Helvetica" w:cs="Helvetica"/>
          <w:sz w:val="20"/>
          <w:szCs w:val="20"/>
        </w:rPr>
        <w:t>, except through the use of the defined extension capability registries. Any such extensions SHOULD be kept to a minimum, and MUST be generally meaningful and not restricted to the use of the given API mapping.</w:t>
      </w:r>
    </w:p>
    <w:p w:rsidR="004E6CDF" w:rsidRDefault="004161FA">
      <w:r>
        <w:rPr>
          <w:rFonts w:ascii="Helvetica" w:eastAsia="Times New Roman" w:hAnsi="Helvetica" w:cs="Helvetica"/>
          <w:b/>
          <w:bCs/>
          <w:sz w:val="20"/>
          <w:szCs w:val="20"/>
        </w:rPr>
        <w:t>(c) Scope of Work</w:t>
      </w:r>
    </w:p>
    <w:p w:rsidR="004E6CDF" w:rsidRDefault="004161FA">
      <w:r>
        <w:rPr>
          <w:rFonts w:ascii="Helvetica" w:eastAsia="Times New Roman" w:hAnsi="Helvetica" w:cs="Helvetica"/>
          <w:sz w:val="20"/>
          <w:szCs w:val="20"/>
        </w:rPr>
        <w:t>The TC will accept rele</w:t>
      </w:r>
      <w:r w:rsidR="001D052D">
        <w:rPr>
          <w:rFonts w:ascii="Helvetica" w:eastAsia="Times New Roman" w:hAnsi="Helvetica" w:cs="Helvetica"/>
          <w:sz w:val="20"/>
          <w:szCs w:val="20"/>
        </w:rPr>
        <w:t xml:space="preserve">vant proposals for bindings </w:t>
      </w:r>
      <w:r>
        <w:rPr>
          <w:rFonts w:ascii="Helvetica" w:eastAsia="Times New Roman" w:hAnsi="Helvetica" w:cs="Helvetica"/>
          <w:sz w:val="20"/>
          <w:szCs w:val="20"/>
        </w:rPr>
        <w:t>or mappings and work to produce OASIS Standard specifications for these. Examples include, but are not limited to:</w:t>
      </w:r>
    </w:p>
    <w:p w:rsidR="004E6CDF" w:rsidRDefault="004161FA">
      <w:pPr>
        <w:pStyle w:val="ListParagraph"/>
        <w:numPr>
          <w:ilvl w:val="0"/>
          <w:numId w:val="4"/>
        </w:numPr>
      </w:pPr>
      <w:r>
        <w:rPr>
          <w:rFonts w:ascii="Helvetica" w:eastAsia="Times New Roman" w:hAnsi="Helvetica" w:cs="Helvetica"/>
          <w:sz w:val="20"/>
          <w:szCs w:val="20"/>
        </w:rPr>
        <w:t>A</w:t>
      </w:r>
      <w:r>
        <w:rPr>
          <w:sz w:val="20"/>
          <w:szCs w:val="20"/>
        </w:rPr>
        <w:t xml:space="preserve"> mapping between the JMS API v1.1 and AMQP v1.0 which would:</w:t>
      </w:r>
    </w:p>
    <w:p w:rsidR="004E6CDF" w:rsidRDefault="004161FA" w:rsidP="004A5681">
      <w:pPr>
        <w:numPr>
          <w:ilvl w:val="1"/>
          <w:numId w:val="3"/>
        </w:numPr>
      </w:pPr>
      <w:r>
        <w:rPr>
          <w:sz w:val="20"/>
          <w:szCs w:val="20"/>
        </w:rPr>
        <w:t>Provide a standard mapping between JMS and AMQP types.</w:t>
      </w:r>
    </w:p>
    <w:p w:rsidR="004E6CDF" w:rsidRDefault="004161FA" w:rsidP="004A5681">
      <w:pPr>
        <w:numPr>
          <w:ilvl w:val="1"/>
          <w:numId w:val="3"/>
        </w:numPr>
      </w:pPr>
      <w:r w:rsidRPr="004A5681">
        <w:rPr>
          <w:sz w:val="20"/>
          <w:szCs w:val="20"/>
        </w:rPr>
        <w:t>Provide a standard mapping between the JMS Message model and the AMQP message model.</w:t>
      </w:r>
    </w:p>
    <w:p w:rsidR="004E6CDF" w:rsidRDefault="004161FA">
      <w:pPr>
        <w:numPr>
          <w:ilvl w:val="1"/>
          <w:numId w:val="3"/>
        </w:numPr>
      </w:pPr>
      <w:r>
        <w:rPr>
          <w:sz w:val="20"/>
          <w:szCs w:val="20"/>
        </w:rPr>
        <w:t>Define which extensions capabilities (if any) to the core AMQP specification are necessary for an AMQP container to act as a full JMS Message Provider to any JMS client written in accordance with the AMQP JMS Mapping specification</w:t>
      </w:r>
      <w:r w:rsidR="00582110">
        <w:rPr>
          <w:sz w:val="20"/>
          <w:szCs w:val="20"/>
        </w:rPr>
        <w:t>.</w:t>
      </w:r>
    </w:p>
    <w:p w:rsidR="001D052D" w:rsidRPr="001D052D" w:rsidRDefault="004161FA" w:rsidP="001D052D">
      <w:pPr>
        <w:pStyle w:val="ListParagraph"/>
        <w:numPr>
          <w:ilvl w:val="0"/>
          <w:numId w:val="3"/>
        </w:numPr>
      </w:pPr>
      <w:r>
        <w:rPr>
          <w:rFonts w:ascii="Helvetica" w:eastAsia="Times New Roman" w:hAnsi="Helvetica" w:cs="Helvetica"/>
          <w:color w:val="00000A"/>
          <w:sz w:val="20"/>
          <w:szCs w:val="20"/>
        </w:rPr>
        <w:t>A binding of AMQP connection semantics to the WebSocket protocol which would:</w:t>
      </w:r>
    </w:p>
    <w:p w:rsidR="001D052D" w:rsidRDefault="001D052D" w:rsidP="001D052D">
      <w:pPr>
        <w:numPr>
          <w:ilvl w:val="1"/>
          <w:numId w:val="3"/>
        </w:numPr>
      </w:pPr>
      <w:r w:rsidRPr="001D052D">
        <w:rPr>
          <w:sz w:val="20"/>
          <w:szCs w:val="20"/>
        </w:rPr>
        <w:t>Define the wire format for AMQP frames on a WebSocket connection</w:t>
      </w:r>
      <w:r w:rsidR="00582110">
        <w:rPr>
          <w:sz w:val="20"/>
          <w:szCs w:val="20"/>
        </w:rPr>
        <w:t>.</w:t>
      </w:r>
    </w:p>
    <w:p w:rsidR="004A5681" w:rsidRPr="004A5681" w:rsidRDefault="001D052D" w:rsidP="001D052D">
      <w:pPr>
        <w:numPr>
          <w:ilvl w:val="1"/>
          <w:numId w:val="3"/>
        </w:numPr>
      </w:pPr>
      <w:r w:rsidRPr="001D052D">
        <w:rPr>
          <w:sz w:val="20"/>
          <w:szCs w:val="20"/>
        </w:rPr>
        <w:t>Detail the relationship betwe</w:t>
      </w:r>
      <w:r w:rsidR="00582110">
        <w:rPr>
          <w:sz w:val="20"/>
          <w:szCs w:val="20"/>
        </w:rPr>
        <w:t>en the core AMQP security model</w:t>
      </w:r>
      <w:r w:rsidRPr="001D052D">
        <w:rPr>
          <w:sz w:val="20"/>
          <w:szCs w:val="20"/>
        </w:rPr>
        <w:t xml:space="preserve"> and the authentication mechanisms associated with an HTTP session</w:t>
      </w:r>
      <w:r w:rsidRPr="004A5681">
        <w:rPr>
          <w:sz w:val="20"/>
          <w:szCs w:val="20"/>
        </w:rPr>
        <w:t>.</w:t>
      </w:r>
    </w:p>
    <w:p w:rsidR="004E6CDF" w:rsidRDefault="004161FA" w:rsidP="004A5681">
      <w:r w:rsidRPr="004A5681">
        <w:rPr>
          <w:rFonts w:ascii="Helvetica" w:eastAsia="Times New Roman" w:hAnsi="Helvetica" w:cs="Helvetica"/>
          <w:bCs/>
          <w:sz w:val="20"/>
          <w:szCs w:val="20"/>
        </w:rPr>
        <w:t xml:space="preserve">Any work not reasonably covered by the Statement of Purpose is deemed to be out of scope. </w:t>
      </w:r>
    </w:p>
    <w:p w:rsidR="004E6CDF" w:rsidRDefault="00582110">
      <w:bookmarkStart w:id="0" w:name="_GoBack"/>
      <w:bookmarkEnd w:id="0"/>
      <w:r>
        <w:rPr>
          <w:rFonts w:ascii="Helvetica" w:eastAsia="Times New Roman" w:hAnsi="Helvetica" w:cs="Helvetica"/>
          <w:b/>
          <w:bCs/>
          <w:sz w:val="20"/>
          <w:szCs w:val="20"/>
        </w:rPr>
        <w:t xml:space="preserve"> </w:t>
      </w:r>
      <w:r w:rsidR="004161FA">
        <w:rPr>
          <w:rFonts w:ascii="Helvetica" w:eastAsia="Times New Roman" w:hAnsi="Helvetica" w:cs="Helvetica"/>
          <w:b/>
          <w:bCs/>
          <w:sz w:val="20"/>
          <w:szCs w:val="20"/>
        </w:rPr>
        <w:t>(d) Deliverables</w:t>
      </w:r>
    </w:p>
    <w:p w:rsidR="004E6CDF" w:rsidRDefault="004161FA">
      <w:r>
        <w:rPr>
          <w:rFonts w:ascii="Helvetica" w:eastAsia="Times New Roman" w:hAnsi="Helvetica" w:cs="Helvetica"/>
          <w:sz w:val="20"/>
          <w:szCs w:val="20"/>
        </w:rPr>
        <w:t>The TC shall produce OASIS Standard versions of such AMQP binding and mapping specifications as are proposed by its members and may then advance the OASIS Standard version of the aforementioned specifications to ISO/IEC JTC 1 through the JTC 1 PAS Transposition Process.</w:t>
      </w:r>
    </w:p>
    <w:p w:rsidR="004E6CDF" w:rsidRDefault="004161FA">
      <w:r>
        <w:rPr>
          <w:rFonts w:ascii="Helvetica" w:hAnsi="Helvetica"/>
          <w:sz w:val="20"/>
          <w:szCs w:val="20"/>
        </w:rPr>
        <w:t>The TC will also provide minor revisions to previously adopted deliverables, in order to clarify ambiguities, inconsistencies, and obvious errors.</w:t>
      </w:r>
    </w:p>
    <w:p w:rsidR="004E6CDF" w:rsidRDefault="004161FA">
      <w:r>
        <w:rPr>
          <w:rFonts w:ascii="Helvetica" w:eastAsia="Times New Roman" w:hAnsi="Helvetica" w:cs="Helvetica"/>
          <w:b/>
          <w:bCs/>
          <w:sz w:val="20"/>
          <w:szCs w:val="20"/>
        </w:rPr>
        <w:t>(e) IPR Mode</w:t>
      </w:r>
    </w:p>
    <w:p w:rsidR="004E6CDF" w:rsidRDefault="004161FA">
      <w:r>
        <w:rPr>
          <w:rFonts w:ascii="Helvetica" w:eastAsia="Times New Roman" w:hAnsi="Helvetica" w:cs="Helvetica"/>
          <w:sz w:val="20"/>
          <w:szCs w:val="20"/>
        </w:rPr>
        <w:t xml:space="preserve">This TC will operate under RF on RAND Terms IPR mode as defined in the </w:t>
      </w:r>
      <w:hyperlink r:id="rId8">
        <w:r>
          <w:rPr>
            <w:rStyle w:val="InternetLink"/>
            <w:rFonts w:ascii="Helvetica" w:hAnsi="Helvetica"/>
            <w:sz w:val="20"/>
            <w:szCs w:val="20"/>
          </w:rPr>
          <w:t>OASIS Intellectual Property Rights (IPR) Policy</w:t>
        </w:r>
      </w:hyperlink>
      <w:r w:rsidR="001D052D">
        <w:rPr>
          <w:rFonts w:ascii="Helvetica" w:eastAsia="Times New Roman" w:hAnsi="Helvetica" w:cs="Helvetica"/>
          <w:sz w:val="20"/>
          <w:szCs w:val="20"/>
        </w:rPr>
        <w:t xml:space="preserve"> effective 21</w:t>
      </w:r>
      <w:r>
        <w:rPr>
          <w:rFonts w:ascii="Helvetica" w:eastAsia="Times New Roman" w:hAnsi="Helvetica" w:cs="Helvetica"/>
          <w:sz w:val="20"/>
          <w:szCs w:val="20"/>
        </w:rPr>
        <w:t xml:space="preserve"> </w:t>
      </w:r>
      <w:r w:rsidR="001D052D">
        <w:rPr>
          <w:rFonts w:ascii="Helvetica" w:eastAsia="Times New Roman" w:hAnsi="Helvetica" w:cs="Helvetica"/>
          <w:sz w:val="20"/>
          <w:szCs w:val="20"/>
        </w:rPr>
        <w:t>June</w:t>
      </w:r>
      <w:r>
        <w:rPr>
          <w:rFonts w:ascii="Helvetica" w:eastAsia="Times New Roman" w:hAnsi="Helvetica" w:cs="Helvetica"/>
          <w:sz w:val="20"/>
          <w:szCs w:val="20"/>
        </w:rPr>
        <w:t xml:space="preserve"> 201</w:t>
      </w:r>
      <w:r w:rsidR="001D052D">
        <w:rPr>
          <w:rFonts w:ascii="Helvetica" w:eastAsia="Times New Roman" w:hAnsi="Helvetica" w:cs="Helvetica"/>
          <w:sz w:val="20"/>
          <w:szCs w:val="20"/>
        </w:rPr>
        <w:t>2</w:t>
      </w:r>
      <w:r>
        <w:rPr>
          <w:rFonts w:ascii="Helvetica" w:eastAsia="Times New Roman" w:hAnsi="Helvetica" w:cs="Helvetica"/>
          <w:sz w:val="20"/>
          <w:szCs w:val="20"/>
        </w:rPr>
        <w:t>.</w:t>
      </w:r>
    </w:p>
    <w:p w:rsidR="004E6CDF" w:rsidRDefault="004161FA">
      <w:r>
        <w:rPr>
          <w:rFonts w:ascii="Helvetica" w:eastAsia="Times New Roman" w:hAnsi="Helvetica" w:cs="Helvetica"/>
          <w:b/>
          <w:bCs/>
          <w:sz w:val="20"/>
          <w:szCs w:val="20"/>
        </w:rPr>
        <w:lastRenderedPageBreak/>
        <w:t>(f) Anticipated Audience</w:t>
      </w:r>
    </w:p>
    <w:p w:rsidR="00EE109F" w:rsidRDefault="00EE109F">
      <w:pPr>
        <w:rPr>
          <w:rFonts w:ascii="Helvetica" w:eastAsia="Times New Roman" w:hAnsi="Helvetica" w:cs="Helvetica"/>
          <w:sz w:val="20"/>
          <w:szCs w:val="20"/>
        </w:rPr>
      </w:pPr>
      <w:r>
        <w:rPr>
          <w:rFonts w:ascii="Helvetica" w:eastAsia="Times New Roman" w:hAnsi="Helvetica" w:cs="Helvetica"/>
          <w:sz w:val="20"/>
          <w:szCs w:val="20"/>
        </w:rPr>
        <w:t>A</w:t>
      </w:r>
      <w:r w:rsidR="004161FA">
        <w:rPr>
          <w:rFonts w:ascii="Helvetica" w:eastAsia="Times New Roman" w:hAnsi="Helvetica" w:cs="Helvetica"/>
          <w:sz w:val="20"/>
          <w:szCs w:val="20"/>
        </w:rPr>
        <w:t>nticipated audience for this work includes</w:t>
      </w:r>
      <w:r>
        <w:rPr>
          <w:rFonts w:ascii="Helvetica" w:eastAsia="Times New Roman" w:hAnsi="Helvetica" w:cs="Helvetica"/>
          <w:sz w:val="20"/>
          <w:szCs w:val="20"/>
        </w:rPr>
        <w:t xml:space="preserve"> AMQP users and middleware implementers.</w:t>
      </w:r>
    </w:p>
    <w:p w:rsidR="004E6CDF" w:rsidRDefault="00EE109F">
      <w:r>
        <w:rPr>
          <w:rFonts w:ascii="Helvetica" w:eastAsia="Times New Roman" w:hAnsi="Helvetica" w:cs="Helvetica"/>
          <w:b/>
          <w:bCs/>
          <w:sz w:val="20"/>
          <w:szCs w:val="20"/>
        </w:rPr>
        <w:t xml:space="preserve"> </w:t>
      </w:r>
      <w:r w:rsidR="004161FA">
        <w:rPr>
          <w:rFonts w:ascii="Helvetica" w:eastAsia="Times New Roman" w:hAnsi="Helvetica" w:cs="Helvetica"/>
          <w:b/>
          <w:bCs/>
          <w:sz w:val="20"/>
          <w:szCs w:val="20"/>
        </w:rPr>
        <w:t>(g) Language</w:t>
      </w:r>
    </w:p>
    <w:p w:rsidR="004E6CDF" w:rsidRDefault="004161FA">
      <w:r>
        <w:rPr>
          <w:rFonts w:ascii="Helvetica" w:eastAsia="Times New Roman" w:hAnsi="Helvetica" w:cs="Helvetica"/>
          <w:sz w:val="20"/>
          <w:szCs w:val="20"/>
        </w:rPr>
        <w:t>TC business will be conducted in English.</w:t>
      </w:r>
    </w:p>
    <w:p w:rsidR="004E6CDF" w:rsidRDefault="004161FA">
      <w:r>
        <w:rPr>
          <w:rFonts w:ascii="Helvetica" w:eastAsia="Times New Roman" w:hAnsi="Helvetica" w:cs="Helvetica"/>
          <w:b/>
          <w:bCs/>
          <w:sz w:val="20"/>
          <w:szCs w:val="20"/>
        </w:rPr>
        <w:t>References</w:t>
      </w:r>
    </w:p>
    <w:p w:rsidR="00922B60"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olor w:val="00000A"/>
          <w:sz w:val="20"/>
        </w:rPr>
      </w:pPr>
      <w:r>
        <w:rPr>
          <w:rFonts w:ascii="Helvetica" w:eastAsia="Times New Roman" w:hAnsi="Helvetica" w:cs="Helvetica"/>
          <w:sz w:val="20"/>
          <w:szCs w:val="20"/>
        </w:rPr>
        <w:t>1</w:t>
      </w:r>
      <w:r w:rsidR="00922B60">
        <w:rPr>
          <w:rFonts w:ascii="Helvetica" w:eastAsia="Times New Roman" w:hAnsi="Helvetica" w:cs="Helvetica"/>
          <w:sz w:val="20"/>
          <w:szCs w:val="20"/>
        </w:rPr>
        <w:t>.</w:t>
      </w:r>
      <w:r>
        <w:rPr>
          <w:rFonts w:ascii="Helvetica" w:eastAsia="Times New Roman" w:hAnsi="Helvetica" w:cs="Helvetica"/>
          <w:sz w:val="20"/>
          <w:szCs w:val="20"/>
        </w:rPr>
        <w:t xml:space="preserve"> </w:t>
      </w:r>
      <w:r w:rsidR="00922B60">
        <w:rPr>
          <w:rFonts w:ascii="Helvetica" w:eastAsia="Times New Roman" w:hAnsi="Helvetica" w:cs="Helvetica"/>
          <w:sz w:val="20"/>
          <w:szCs w:val="20"/>
        </w:rPr>
        <w:t xml:space="preserve">OASIS AMQP Version 1.0 </w:t>
      </w:r>
      <w:r w:rsidR="00922B60" w:rsidRPr="00922B60">
        <w:rPr>
          <w:rFonts w:ascii="Helvetica" w:eastAsia="Times New Roman" w:hAnsi="Helvetica" w:cs="Helvetica"/>
          <w:sz w:val="20"/>
          <w:szCs w:val="20"/>
        </w:rPr>
        <w:t>Specification</w:t>
      </w:r>
      <w:r w:rsidR="00922B60">
        <w:rPr>
          <w:rFonts w:ascii="Helvetica" w:eastAsia="Times New Roman" w:hAnsi="Helvetica" w:cs="Helvetica"/>
          <w:sz w:val="20"/>
          <w:szCs w:val="20"/>
        </w:rPr>
        <w:t xml:space="preserve"> </w:t>
      </w:r>
      <w:hyperlink r:id="rId9" w:history="1">
        <w:r w:rsidR="00922B60" w:rsidRPr="00922B60">
          <w:rPr>
            <w:rStyle w:val="Hyperlink"/>
            <w:rFonts w:ascii="Helvetica" w:hAnsi="Helvetica"/>
            <w:sz w:val="20"/>
          </w:rPr>
          <w:t>http://docs.oasis-open.org/amqp/core/v1.0/amqp-core-complete-v1.0.pdf</w:t>
        </w:r>
      </w:hyperlink>
    </w:p>
    <w:p w:rsidR="004E6CDF"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b/>
          <w:sz w:val="20"/>
        </w:rPr>
        <w:t>(2) Non-normative information regarding the startup of the TC</w:t>
      </w:r>
    </w:p>
    <w:p w:rsidR="004E6CDF"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b/>
          <w:sz w:val="20"/>
        </w:rPr>
        <w:t xml:space="preserve">(a)  Similar Work </w:t>
      </w:r>
    </w:p>
    <w:p w:rsidR="0060321A" w:rsidRDefault="0060321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Calibri"/>
          <w:sz w:val="20"/>
        </w:rPr>
      </w:pPr>
      <w:r w:rsidRPr="0060321A">
        <w:rPr>
          <w:rFonts w:ascii="Helvetica" w:hAnsi="Helvetica" w:cs="Calibri"/>
          <w:sz w:val="20"/>
        </w:rPr>
        <w:t>There is no similar work being done in OASIS or to our knowledge in any other organizations.</w:t>
      </w:r>
    </w:p>
    <w:p w:rsidR="004E6CDF"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b/>
          <w:sz w:val="20"/>
        </w:rPr>
        <w:t>(b) Date, Time, and Location of First Meeting</w:t>
      </w:r>
    </w:p>
    <w:p w:rsidR="0060321A" w:rsidRDefault="0060321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Calibri"/>
          <w:sz w:val="20"/>
        </w:rPr>
      </w:pPr>
      <w:r w:rsidRPr="0060321A">
        <w:rPr>
          <w:rFonts w:ascii="Helvetica" w:hAnsi="Helvetica" w:cs="Calibri"/>
          <w:sz w:val="20"/>
        </w:rPr>
        <w:t>First Meeting will be held by t</w:t>
      </w:r>
      <w:r>
        <w:rPr>
          <w:rFonts w:ascii="Helvetica" w:hAnsi="Helvetica" w:cs="Calibri"/>
          <w:sz w:val="20"/>
        </w:rPr>
        <w:t xml:space="preserve">eleconference at </w:t>
      </w:r>
      <w:r w:rsidR="00BE1E36">
        <w:rPr>
          <w:rFonts w:ascii="Helvetica" w:hAnsi="Helvetica" w:cs="Calibri"/>
          <w:color w:val="FF0000"/>
          <w:sz w:val="20"/>
        </w:rPr>
        <w:t>&lt;time&gt;</w:t>
      </w:r>
      <w:r w:rsidRPr="0060321A">
        <w:rPr>
          <w:rFonts w:ascii="Helvetica" w:hAnsi="Helvetica" w:cs="Calibri"/>
          <w:sz w:val="20"/>
        </w:rPr>
        <w:t xml:space="preserve"> Time on</w:t>
      </w:r>
      <w:r>
        <w:rPr>
          <w:rFonts w:ascii="Helvetica" w:hAnsi="Helvetica" w:cs="Calibri"/>
          <w:sz w:val="20"/>
        </w:rPr>
        <w:t xml:space="preserve"> </w:t>
      </w:r>
      <w:r w:rsidR="00BE1E36">
        <w:rPr>
          <w:rFonts w:ascii="Helvetica" w:hAnsi="Helvetica" w:cs="Calibri"/>
          <w:color w:val="FF0000"/>
          <w:sz w:val="20"/>
        </w:rPr>
        <w:t>&lt;date&gt;</w:t>
      </w:r>
      <w:r>
        <w:rPr>
          <w:rFonts w:ascii="Helvetica" w:hAnsi="Helvetica" w:cs="Calibri"/>
          <w:sz w:val="20"/>
        </w:rPr>
        <w:t>.</w:t>
      </w:r>
    </w:p>
    <w:p w:rsidR="004E6CDF"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b/>
          <w:sz w:val="20"/>
        </w:rPr>
        <w:t>(c) On-Going Meeting Plans &amp; Sponsors</w:t>
      </w:r>
    </w:p>
    <w:p w:rsidR="0060321A"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Calibri"/>
          <w:sz w:val="20"/>
        </w:rPr>
      </w:pPr>
      <w:r>
        <w:rPr>
          <w:rFonts w:ascii="Helvetica" w:hAnsi="Helvetica" w:cs="Calibri"/>
          <w:sz w:val="20"/>
        </w:rPr>
        <w:t xml:space="preserve">It is anticipated that the TC will meet </w:t>
      </w:r>
      <w:r w:rsidR="0060321A">
        <w:rPr>
          <w:rFonts w:ascii="Helvetica" w:hAnsi="Helvetica" w:cs="Calibri"/>
          <w:sz w:val="20"/>
        </w:rPr>
        <w:t xml:space="preserve">weekly </w:t>
      </w:r>
      <w:r>
        <w:rPr>
          <w:rFonts w:ascii="Helvetica" w:hAnsi="Helvetica" w:cs="Calibri"/>
          <w:sz w:val="20"/>
        </w:rPr>
        <w:t>via teleconference</w:t>
      </w:r>
      <w:r w:rsidR="0060321A">
        <w:rPr>
          <w:rFonts w:ascii="Helvetica" w:hAnsi="Helvetica" w:cs="Calibri"/>
          <w:sz w:val="20"/>
        </w:rPr>
        <w:t xml:space="preserve"> and (if needed) it</w:t>
      </w:r>
      <w:r>
        <w:rPr>
          <w:rFonts w:ascii="Helvetica" w:hAnsi="Helvetica" w:cs="Calibri"/>
          <w:sz w:val="20"/>
        </w:rPr>
        <w:t xml:space="preserve"> will meet face-to-face every 2-3 months at a time and location to be determined by the TC members.</w:t>
      </w:r>
    </w:p>
    <w:p w:rsidR="004E6CDF" w:rsidRDefault="0060321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sz w:val="20"/>
        </w:rPr>
        <w:t>A</w:t>
      </w:r>
      <w:r w:rsidRPr="0060321A">
        <w:rPr>
          <w:rFonts w:ascii="Helvetica" w:hAnsi="Helvetica" w:cs="Calibri"/>
          <w:sz w:val="20"/>
        </w:rPr>
        <w:t>t its First Meeting, the TC will elect a Chair and setup an on-going meeting schedule and determine who will sponsor these meetings</w:t>
      </w:r>
      <w:r w:rsidR="004161FA">
        <w:rPr>
          <w:rFonts w:ascii="Helvetica" w:hAnsi="Helvetica" w:cs="Calibri"/>
          <w:sz w:val="20"/>
        </w:rPr>
        <w:t>.</w:t>
      </w:r>
    </w:p>
    <w:p w:rsidR="004E6CDF"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b/>
          <w:sz w:val="20"/>
        </w:rPr>
        <w:t>(d) Proposers of the TC</w:t>
      </w:r>
    </w:p>
    <w:p w:rsidR="0032731A" w:rsidRDefault="0032731A" w:rsidP="0060321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Calibri"/>
          <w:color w:val="FF0000"/>
          <w:sz w:val="20"/>
        </w:rPr>
      </w:pPr>
      <w:r w:rsidRPr="0032731A">
        <w:rPr>
          <w:rFonts w:ascii="Helvetica" w:hAnsi="Helvetica" w:cs="Calibri"/>
          <w:color w:val="FF0000"/>
          <w:sz w:val="20"/>
        </w:rPr>
        <w:t>&lt;</w:t>
      </w:r>
      <w:proofErr w:type="gramStart"/>
      <w:r w:rsidRPr="0032731A">
        <w:rPr>
          <w:rFonts w:ascii="Helvetica" w:hAnsi="Helvetica" w:cs="Calibri"/>
          <w:color w:val="FF0000"/>
          <w:sz w:val="20"/>
        </w:rPr>
        <w:t>name</w:t>
      </w:r>
      <w:proofErr w:type="gramEnd"/>
      <w:r w:rsidRPr="0032731A">
        <w:rPr>
          <w:rFonts w:ascii="Helvetica" w:hAnsi="Helvetica" w:cs="Calibri"/>
          <w:color w:val="FF0000"/>
          <w:sz w:val="20"/>
        </w:rPr>
        <w:t>&gt;</w:t>
      </w:r>
      <w:r w:rsidRPr="0032731A">
        <w:rPr>
          <w:rFonts w:ascii="Helvetica" w:hAnsi="Helvetica" w:cs="Calibri"/>
          <w:sz w:val="20"/>
        </w:rPr>
        <w:t xml:space="preserve">, </w:t>
      </w:r>
      <w:r w:rsidRPr="0032731A">
        <w:rPr>
          <w:rFonts w:ascii="Helvetica" w:hAnsi="Helvetica" w:cs="Calibri"/>
          <w:color w:val="FF0000"/>
          <w:sz w:val="20"/>
        </w:rPr>
        <w:t>&lt;e-mail&gt;</w:t>
      </w:r>
      <w:r w:rsidRPr="0032731A">
        <w:rPr>
          <w:rFonts w:ascii="Helvetica" w:hAnsi="Helvetica" w:cs="Calibri"/>
          <w:sz w:val="20"/>
        </w:rPr>
        <w:t xml:space="preserve">, </w:t>
      </w:r>
      <w:r w:rsidRPr="0032731A">
        <w:rPr>
          <w:rFonts w:ascii="Helvetica" w:hAnsi="Helvetica" w:cs="Calibri"/>
          <w:color w:val="FF0000"/>
          <w:sz w:val="20"/>
        </w:rPr>
        <w:t>&lt;company</w:t>
      </w:r>
      <w:r w:rsidR="00BE1E36">
        <w:rPr>
          <w:rFonts w:ascii="Helvetica" w:hAnsi="Helvetica" w:cs="Calibri"/>
          <w:color w:val="FF0000"/>
          <w:sz w:val="20"/>
        </w:rPr>
        <w:t xml:space="preserve"> or </w:t>
      </w:r>
      <w:r w:rsidR="00BE1E36" w:rsidRPr="00BE1E36">
        <w:rPr>
          <w:rFonts w:ascii="Helvetica" w:hAnsi="Helvetica" w:cs="Calibri"/>
          <w:color w:val="FF0000"/>
          <w:sz w:val="20"/>
        </w:rPr>
        <w:t>Individual Member</w:t>
      </w:r>
      <w:r w:rsidRPr="0032731A">
        <w:rPr>
          <w:rFonts w:ascii="Helvetica" w:hAnsi="Helvetica" w:cs="Calibri"/>
          <w:color w:val="FF0000"/>
          <w:sz w:val="20"/>
        </w:rPr>
        <w:t>&gt;</w:t>
      </w:r>
    </w:p>
    <w:p w:rsidR="004E6CDF" w:rsidRDefault="004161FA" w:rsidP="0060321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b/>
          <w:sz w:val="20"/>
        </w:rPr>
        <w:t>(e) Statement of Support</w:t>
      </w:r>
    </w:p>
    <w:p w:rsidR="0032731A" w:rsidRDefault="0032731A" w:rsidP="00922B6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Calibri"/>
          <w:sz w:val="20"/>
        </w:rPr>
      </w:pPr>
      <w:r w:rsidRPr="0032731A">
        <w:rPr>
          <w:rFonts w:ascii="Helvetica" w:hAnsi="Helvetica" w:cs="Calibri"/>
          <w:sz w:val="20"/>
        </w:rPr>
        <w:t xml:space="preserve">* </w:t>
      </w:r>
      <w:r w:rsidRPr="0032731A">
        <w:rPr>
          <w:rFonts w:ascii="Helvetica" w:hAnsi="Helvetica" w:cs="Calibri"/>
          <w:color w:val="FF0000"/>
          <w:sz w:val="20"/>
        </w:rPr>
        <w:t>&lt;name&gt;</w:t>
      </w:r>
      <w:r w:rsidRPr="0032731A">
        <w:rPr>
          <w:rFonts w:ascii="Helvetica" w:hAnsi="Helvetica" w:cs="Calibri"/>
          <w:sz w:val="20"/>
        </w:rPr>
        <w:t xml:space="preserve">, </w:t>
      </w:r>
      <w:r w:rsidRPr="0032731A">
        <w:rPr>
          <w:rFonts w:ascii="Helvetica" w:hAnsi="Helvetica" w:cs="Calibri"/>
          <w:color w:val="FF0000"/>
          <w:sz w:val="20"/>
        </w:rPr>
        <w:t>&lt;e-mail&gt;</w:t>
      </w:r>
      <w:r w:rsidRPr="0032731A">
        <w:rPr>
          <w:rFonts w:ascii="Helvetica" w:hAnsi="Helvetica" w:cs="Calibri"/>
          <w:sz w:val="20"/>
        </w:rPr>
        <w:t xml:space="preserve">, </w:t>
      </w:r>
      <w:r w:rsidRPr="0032731A">
        <w:rPr>
          <w:rFonts w:ascii="Helvetica" w:hAnsi="Helvetica" w:cs="Calibri"/>
          <w:color w:val="FF0000"/>
          <w:sz w:val="20"/>
        </w:rPr>
        <w:t>&lt;company&gt;</w:t>
      </w:r>
      <w:r w:rsidRPr="0032731A">
        <w:rPr>
          <w:rFonts w:ascii="Helvetica" w:hAnsi="Helvetica" w:cs="Calibri"/>
          <w:sz w:val="20"/>
        </w:rPr>
        <w:t xml:space="preserve"> - "As the Primary Representative for </w:t>
      </w:r>
      <w:r w:rsidRPr="009A0827">
        <w:rPr>
          <w:rFonts w:ascii="Helvetica" w:hAnsi="Helvetica" w:cs="Calibri"/>
          <w:color w:val="FF0000"/>
          <w:sz w:val="20"/>
        </w:rPr>
        <w:t>&lt;company&gt;</w:t>
      </w:r>
      <w:r w:rsidRPr="0032731A">
        <w:rPr>
          <w:rFonts w:ascii="Helvetica" w:hAnsi="Helvetica" w:cs="Calibri"/>
          <w:sz w:val="20"/>
        </w:rPr>
        <w:t>, I support the goals of the proposed OASIS Advanced Message Queuing Protocol (AMQP) Bindings and Mappings Technical Committee as described in this Charter."</w:t>
      </w:r>
    </w:p>
    <w:p w:rsidR="004E6CDF"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b/>
          <w:sz w:val="20"/>
        </w:rPr>
        <w:t>(f) TC Convener</w:t>
      </w:r>
    </w:p>
    <w:p w:rsidR="004E6CDF" w:rsidRPr="00922B60"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Calibri"/>
          <w:sz w:val="20"/>
        </w:rPr>
      </w:pPr>
      <w:r>
        <w:rPr>
          <w:rFonts w:ascii="Helvetica" w:hAnsi="Helvetica" w:cs="Calibri"/>
          <w:sz w:val="20"/>
        </w:rPr>
        <w:t xml:space="preserve">The TC Convener for the first meeting will be </w:t>
      </w:r>
      <w:r w:rsidR="00922B60" w:rsidRPr="0060321A">
        <w:rPr>
          <w:rFonts w:ascii="Helvetica" w:hAnsi="Helvetica" w:cs="Calibri"/>
          <w:color w:val="FF0000"/>
          <w:sz w:val="20"/>
        </w:rPr>
        <w:t>TBD</w:t>
      </w:r>
      <w:r>
        <w:rPr>
          <w:rFonts w:ascii="Helvetica" w:hAnsi="Helvetica" w:cs="Calibri"/>
          <w:sz w:val="20"/>
        </w:rPr>
        <w:t>.</w:t>
      </w:r>
    </w:p>
    <w:p w:rsidR="004E6CDF"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b/>
          <w:sz w:val="20"/>
        </w:rPr>
        <w:t>(g) Affiliation to Member Section</w:t>
      </w:r>
    </w:p>
    <w:p w:rsidR="004E6CDF" w:rsidRDefault="0032731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sidRPr="0032731A">
        <w:rPr>
          <w:rFonts w:ascii="Helvetica" w:hAnsi="Helvetica" w:cs="Calibri"/>
          <w:sz w:val="20"/>
        </w:rPr>
        <w:t>It is intended that this TC will be affiliated with the</w:t>
      </w:r>
      <w:r w:rsidR="004161FA">
        <w:rPr>
          <w:rFonts w:ascii="Helvetica" w:hAnsi="Helvetica" w:cs="Calibri"/>
          <w:sz w:val="20"/>
        </w:rPr>
        <w:t xml:space="preserve"> AMQP Member Section.</w:t>
      </w:r>
    </w:p>
    <w:p w:rsidR="004E6CDF"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b/>
          <w:sz w:val="20"/>
        </w:rPr>
        <w:t>(h) List of anticipated contributions</w:t>
      </w:r>
    </w:p>
    <w:p w:rsidR="004E6CDF" w:rsidRDefault="00215D8B">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eastAsia="Times New Roman" w:hAnsi="Helvetica" w:cs="Helvetica"/>
          <w:color w:val="FF0000"/>
          <w:sz w:val="20"/>
          <w:szCs w:val="20"/>
        </w:rPr>
        <w:t>&lt;None&gt; or &lt;</w:t>
      </w:r>
      <w:r w:rsidR="004161FA">
        <w:rPr>
          <w:rFonts w:ascii="Helvetica" w:eastAsia="Times New Roman" w:hAnsi="Helvetica" w:cs="Helvetica"/>
          <w:color w:val="FF0000"/>
          <w:sz w:val="20"/>
          <w:szCs w:val="20"/>
        </w:rPr>
        <w:t>TBD</w:t>
      </w:r>
      <w:r>
        <w:rPr>
          <w:rFonts w:ascii="Helvetica" w:eastAsia="Times New Roman" w:hAnsi="Helvetica" w:cs="Helvetica"/>
          <w:color w:val="FF0000"/>
          <w:sz w:val="20"/>
          <w:szCs w:val="20"/>
        </w:rPr>
        <w:t xml:space="preserve"> (do we have or want to provide any publicly available documents now?)&gt;</w:t>
      </w:r>
    </w:p>
    <w:p w:rsidR="004E6CDF"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b/>
          <w:sz w:val="20"/>
        </w:rPr>
        <w:t>(</w:t>
      </w:r>
      <w:proofErr w:type="spellStart"/>
      <w:r>
        <w:rPr>
          <w:rFonts w:ascii="Helvetica" w:hAnsi="Helvetica" w:cs="Calibri"/>
          <w:b/>
          <w:sz w:val="20"/>
        </w:rPr>
        <w:t>i</w:t>
      </w:r>
      <w:proofErr w:type="spellEnd"/>
      <w:r>
        <w:rPr>
          <w:rFonts w:ascii="Helvetica" w:hAnsi="Helvetica" w:cs="Calibri"/>
          <w:b/>
          <w:sz w:val="20"/>
        </w:rPr>
        <w:t>) Frequently Asked Questions (FAQ) relating to the planned scope of the TC</w:t>
      </w:r>
    </w:p>
    <w:p w:rsidR="004E6CDF"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color w:val="00000A"/>
          <w:sz w:val="20"/>
        </w:rPr>
        <w:t>None</w:t>
      </w:r>
    </w:p>
    <w:p w:rsidR="004E6CDF"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b/>
          <w:sz w:val="20"/>
        </w:rPr>
        <w:lastRenderedPageBreak/>
        <w:t>(</w:t>
      </w:r>
      <w:proofErr w:type="gramStart"/>
      <w:r>
        <w:rPr>
          <w:rFonts w:ascii="Helvetica" w:hAnsi="Helvetica" w:cs="Calibri"/>
          <w:b/>
          <w:sz w:val="20"/>
        </w:rPr>
        <w:t>j</w:t>
      </w:r>
      <w:proofErr w:type="gramEnd"/>
      <w:r>
        <w:rPr>
          <w:rFonts w:ascii="Helvetica" w:hAnsi="Helvetica" w:cs="Calibri"/>
          <w:b/>
          <w:sz w:val="20"/>
        </w:rPr>
        <w:t>) Proposed working title and acronym for the specification(s) to be developed by the TC</w:t>
      </w:r>
    </w:p>
    <w:p w:rsidR="004E6CDF" w:rsidRDefault="004161FA">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pPr>
      <w:r>
        <w:rPr>
          <w:rFonts w:ascii="Helvetica" w:hAnsi="Helvetica" w:cs="Calibri"/>
          <w:color w:val="00000A"/>
          <w:sz w:val="20"/>
        </w:rPr>
        <w:t>None</w:t>
      </w:r>
    </w:p>
    <w:sectPr w:rsidR="004E6CDF" w:rsidSect="0021349B">
      <w:headerReference w:type="default" r:id="rId10"/>
      <w:footerReference w:type="default" r:id="rId11"/>
      <w:pgSz w:w="12240" w:h="15840" w:code="1"/>
      <w:pgMar w:top="1440" w:right="1440" w:bottom="1440" w:left="1440" w:header="720" w:footer="720" w:gutter="0"/>
      <w:cols w:space="720"/>
      <w:formProt w:val="0"/>
      <w:docGrid w:linePitch="4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16" w:rsidRDefault="006C7B16">
      <w:pPr>
        <w:spacing w:after="0" w:line="240" w:lineRule="auto"/>
      </w:pPr>
      <w:r>
        <w:separator/>
      </w:r>
    </w:p>
  </w:endnote>
  <w:endnote w:type="continuationSeparator" w:id="0">
    <w:p w:rsidR="006C7B16" w:rsidRDefault="006C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502050505030304"/>
    <w:charset w:val="00"/>
    <w:family w:val="roman"/>
    <w:pitch w:val="variable"/>
    <w:sig w:usb0="00000007" w:usb1="00000000" w:usb2="00000000" w:usb3="00000000" w:csb0="00000093" w:csb1="00000000"/>
  </w:font>
  <w:font w:name="Lohit Devanagari">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FrankRueh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DF" w:rsidRDefault="004161FA">
    <w:pPr>
      <w:pStyle w:val="Footer"/>
      <w:jc w:val="right"/>
    </w:pPr>
    <w:r>
      <w:t xml:space="preserve">Page | </w:t>
    </w:r>
    <w:r>
      <w:fldChar w:fldCharType="begin"/>
    </w:r>
    <w:r>
      <w:instrText>PAGE</w:instrText>
    </w:r>
    <w:r>
      <w:fldChar w:fldCharType="separate"/>
    </w:r>
    <w:r w:rsidR="00215D8B">
      <w:rPr>
        <w:noProof/>
      </w:rPr>
      <w:t>1</w:t>
    </w:r>
    <w:r>
      <w:fldChar w:fldCharType="end"/>
    </w:r>
    <w:r>
      <w:t xml:space="preserve"> </w:t>
    </w:r>
  </w:p>
  <w:p w:rsidR="004E6CDF" w:rsidRDefault="004E6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16" w:rsidRDefault="006C7B16">
      <w:pPr>
        <w:spacing w:after="0" w:line="240" w:lineRule="auto"/>
      </w:pPr>
      <w:r>
        <w:separator/>
      </w:r>
    </w:p>
  </w:footnote>
  <w:footnote w:type="continuationSeparator" w:id="0">
    <w:p w:rsidR="006C7B16" w:rsidRDefault="006C7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DF" w:rsidRDefault="004161FA">
    <w:pPr>
      <w:pStyle w:val="Header"/>
    </w:pPr>
    <w:r>
      <w:rPr>
        <w:color w:val="00000A"/>
        <w:sz w:val="18"/>
      </w:rPr>
      <w:t>OASIS AMQP Bindings and Mappings Technical Committee Charter</w:t>
    </w:r>
    <w:r>
      <w:rPr>
        <w:color w:val="00000A"/>
        <w:sz w:val="18"/>
      </w:rPr>
      <w:tab/>
    </w:r>
    <w:r w:rsidR="0021349B">
      <w:rPr>
        <w:color w:val="00000A"/>
        <w:sz w:val="18"/>
      </w:rPr>
      <w:t>August</w:t>
    </w:r>
    <w:r>
      <w:rPr>
        <w:color w:val="00000A"/>
        <w:sz w:val="18"/>
      </w:rPr>
      <w:t xml:space="preserve"> </w:t>
    </w:r>
    <w:r w:rsidR="0021349B">
      <w:rPr>
        <w:color w:val="00000A"/>
        <w:sz w:val="18"/>
      </w:rPr>
      <w:t>2</w:t>
    </w:r>
    <w:r>
      <w:rPr>
        <w:color w:val="00000A"/>
        <w:sz w:val="18"/>
      </w:rPr>
      <w:t>, 2012</w:t>
    </w:r>
  </w:p>
  <w:p w:rsidR="004E6CDF" w:rsidRDefault="004E6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3F0D"/>
    <w:multiLevelType w:val="multilevel"/>
    <w:tmpl w:val="2B7EC95A"/>
    <w:lvl w:ilvl="0">
      <w:start w:val="1"/>
      <w:numFmt w:val="bullet"/>
      <w:lvlText w:val="•"/>
      <w:lvlJc w:val="left"/>
      <w:pPr>
        <w:ind w:left="720" w:hanging="360"/>
      </w:pPr>
      <w:rPr>
        <w:rFonts w:ascii="Helvetica" w:hAnsi="Helvetica"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27A74A2"/>
    <w:multiLevelType w:val="multilevel"/>
    <w:tmpl w:val="826271CA"/>
    <w:lvl w:ilvl="0">
      <w:start w:val="2"/>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DC72341"/>
    <w:multiLevelType w:val="multilevel"/>
    <w:tmpl w:val="41C80A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00A5A11"/>
    <w:multiLevelType w:val="multilevel"/>
    <w:tmpl w:val="F0DCD5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9FF2BAD"/>
    <w:multiLevelType w:val="multilevel"/>
    <w:tmpl w:val="7C868B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DF"/>
    <w:rsid w:val="001D052D"/>
    <w:rsid w:val="0021349B"/>
    <w:rsid w:val="00215D8B"/>
    <w:rsid w:val="0032731A"/>
    <w:rsid w:val="00344EAF"/>
    <w:rsid w:val="004161FA"/>
    <w:rsid w:val="004A5681"/>
    <w:rsid w:val="004E6CDF"/>
    <w:rsid w:val="00582110"/>
    <w:rsid w:val="005B3C7D"/>
    <w:rsid w:val="0060321A"/>
    <w:rsid w:val="006C7B16"/>
    <w:rsid w:val="008107B0"/>
    <w:rsid w:val="00922B60"/>
    <w:rsid w:val="009A0827"/>
    <w:rsid w:val="00BE1E36"/>
    <w:rsid w:val="00EE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line="100" w:lineRule="atLeast"/>
    </w:pPr>
    <w:rPr>
      <w:rFonts w:ascii="Arial" w:eastAsia="Calibri"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Helvetica"/>
    </w:rPr>
  </w:style>
  <w:style w:type="character" w:customStyle="1" w:styleId="ListLabel2">
    <w:name w:val="ListLabel 2"/>
    <w:rPr>
      <w:rFonts w:cs="Courier New"/>
    </w:rPr>
  </w:style>
  <w:style w:type="character" w:customStyle="1" w:styleId="ListLabel3">
    <w:name w:val="ListLabel 3"/>
    <w:rPr>
      <w:sz w:val="20"/>
    </w:rPr>
  </w:style>
  <w:style w:type="character" w:customStyle="1" w:styleId="DefaultParagraphFont1">
    <w:name w:val="Default Paragraph Font1"/>
  </w:style>
  <w:style w:type="character" w:customStyle="1" w:styleId="InternetLink">
    <w:name w:val="Internet Link"/>
    <w:rPr>
      <w:color w:val="0000CC"/>
      <w:u w:val="single"/>
      <w:lang w:val="en-US" w:eastAsia="en-US" w:bidi="en-US"/>
    </w:rPr>
  </w:style>
  <w:style w:type="character" w:customStyle="1" w:styleId="StrongEmphasis">
    <w:name w:val="Strong Emphasis"/>
    <w:rPr>
      <w:b/>
      <w:bCs/>
    </w:rPr>
  </w:style>
  <w:style w:type="character" w:customStyle="1" w:styleId="HTMLPreformattedChar">
    <w:name w:val="HTML Preformatted Char"/>
    <w:basedOn w:val="DefaultParagraphFont1"/>
  </w:style>
  <w:style w:type="character" w:customStyle="1" w:styleId="FooterChar">
    <w:name w:val="Footer Char"/>
    <w:basedOn w:val="DefaultParagraphFont1"/>
  </w:style>
  <w:style w:type="character" w:styleId="FollowedHyperlink">
    <w:name w:val="FollowedHyperlink"/>
    <w:basedOn w:val="DefaultParagraphFont1"/>
  </w:style>
  <w:style w:type="character" w:customStyle="1" w:styleId="HeaderChar">
    <w:name w:val="Header Char"/>
    <w:basedOn w:val="DefaultParagraphFont1"/>
  </w:style>
  <w:style w:type="character" w:customStyle="1" w:styleId="BalloonTextChar">
    <w:name w:val="Balloon Text Char"/>
    <w:basedOn w:val="DefaultParagraphFont1"/>
  </w:style>
  <w:style w:type="character" w:customStyle="1" w:styleId="ListLabel4">
    <w:name w:val="ListLabel 4"/>
    <w:rPr>
      <w:rFonts w:cs="Helvetica"/>
    </w:rPr>
  </w:style>
  <w:style w:type="character" w:customStyle="1" w:styleId="ListLabel5">
    <w:name w:val="ListLabel 5"/>
    <w:rPr>
      <w:rFonts w:cs="Courier New"/>
    </w:rPr>
  </w:style>
  <w:style w:type="character" w:customStyle="1" w:styleId="ListLabel6">
    <w:name w:val="ListLabel 6"/>
    <w:rPr>
      <w:rFonts w:eastAsia="Calibri" w:cs="Times New Roman"/>
    </w:rPr>
  </w:style>
  <w:style w:type="character" w:customStyle="1" w:styleId="ListLabel7">
    <w:name w:val="ListLabel 7"/>
    <w:rPr>
      <w:rFonts w:eastAsia="Times New Roman" w:cs="Helvetica"/>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Helvetica" w:eastAsia="Arial Unicode MS" w:hAnsi="Helvetica" w:cs="Arial Unicode MS"/>
      <w:sz w:val="28"/>
      <w:szCs w:val="28"/>
    </w:rPr>
  </w:style>
  <w:style w:type="paragraph" w:customStyle="1" w:styleId="Textbody">
    <w:name w:val="Text body"/>
    <w:basedOn w:val="Normal"/>
    <w:pPr>
      <w:spacing w:after="120"/>
    </w:pPr>
  </w:style>
  <w:style w:type="paragraph" w:styleId="List">
    <w:name w:val="List"/>
    <w:basedOn w:val="Textbody"/>
    <w:rPr>
      <w:rFonts w:ascii="Palatino" w:hAnsi="Palatino" w:cs="Lohit Devanagari"/>
    </w:rPr>
  </w:style>
  <w:style w:type="paragraph" w:styleId="Caption">
    <w:name w:val="caption"/>
    <w:basedOn w:val="Normal"/>
    <w:pPr>
      <w:suppressLineNumbers/>
      <w:spacing w:before="120" w:after="120"/>
    </w:pPr>
    <w:rPr>
      <w:rFonts w:ascii="Palatino" w:hAnsi="Palatino"/>
      <w:i/>
      <w:iCs/>
    </w:rPr>
  </w:style>
  <w:style w:type="paragraph" w:customStyle="1" w:styleId="Index">
    <w:name w:val="Index"/>
    <w:basedOn w:val="Normal"/>
    <w:pPr>
      <w:suppressLineNumbers/>
    </w:pPr>
    <w:rPr>
      <w:rFonts w:ascii="Palatino" w:hAnsi="Palatino" w:cs="Lohit Devanagari"/>
    </w:rPr>
  </w:style>
  <w:style w:type="paragraph" w:styleId="NormalWeb">
    <w:name w:val="Normal (Web)"/>
    <w:basedOn w:val="Normal"/>
  </w:style>
  <w:style w:type="paragraph" w:styleId="ListParagraph">
    <w:name w:val="List Paragraph"/>
    <w:basedOn w:val="Normal"/>
  </w:style>
  <w:style w:type="paragraph" w:styleId="HTMLPreformatted">
    <w:name w:val="HTML Preformatted"/>
    <w:basedOn w:val="Normal"/>
  </w:style>
  <w:style w:type="paragraph" w:styleId="Footer">
    <w:name w:val="footer"/>
    <w:basedOn w:val="Normal"/>
    <w:pPr>
      <w:suppressLineNumbers/>
      <w:tabs>
        <w:tab w:val="center" w:pos="4680"/>
        <w:tab w:val="right" w:pos="9360"/>
      </w:tabs>
    </w:pPr>
    <w:rPr>
      <w:rFonts w:ascii="Helvetica" w:eastAsia="Times New Roman" w:hAnsi="Helvetica" w:cs="Helvetica"/>
      <w:sz w:val="20"/>
      <w:szCs w:val="20"/>
    </w:rPr>
  </w:style>
  <w:style w:type="paragraph" w:styleId="Header">
    <w:name w:val="header"/>
    <w:basedOn w:val="Normal"/>
    <w:pPr>
      <w:suppressLineNumbers/>
      <w:tabs>
        <w:tab w:val="center" w:pos="4680"/>
        <w:tab w:val="right" w:pos="9360"/>
      </w:tabs>
    </w:pPr>
  </w:style>
  <w:style w:type="paragraph" w:styleId="BalloonText">
    <w:name w:val="Balloon Text"/>
    <w:basedOn w:val="Normal"/>
  </w:style>
  <w:style w:type="paragraph" w:styleId="Revision">
    <w:name w:val="Revision"/>
    <w:pPr>
      <w:tabs>
        <w:tab w:val="left" w:pos="720"/>
      </w:tabs>
      <w:suppressAutoHyphens/>
    </w:pPr>
    <w:rPr>
      <w:rFonts w:ascii="Verdana" w:eastAsia="Calibri" w:hAnsi="Verdana" w:cs="Verdana"/>
      <w:color w:val="000000"/>
      <w:sz w:val="24"/>
      <w:szCs w:val="24"/>
      <w:lang w:eastAsia="ar-SA"/>
    </w:rPr>
  </w:style>
  <w:style w:type="character" w:styleId="Hyperlink">
    <w:name w:val="Hyperlink"/>
    <w:basedOn w:val="DefaultParagraphFont"/>
    <w:uiPriority w:val="99"/>
    <w:unhideWhenUsed/>
    <w:rsid w:val="00922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line="100" w:lineRule="atLeast"/>
    </w:pPr>
    <w:rPr>
      <w:rFonts w:ascii="Arial" w:eastAsia="Calibri"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Helvetica"/>
    </w:rPr>
  </w:style>
  <w:style w:type="character" w:customStyle="1" w:styleId="ListLabel2">
    <w:name w:val="ListLabel 2"/>
    <w:rPr>
      <w:rFonts w:cs="Courier New"/>
    </w:rPr>
  </w:style>
  <w:style w:type="character" w:customStyle="1" w:styleId="ListLabel3">
    <w:name w:val="ListLabel 3"/>
    <w:rPr>
      <w:sz w:val="20"/>
    </w:rPr>
  </w:style>
  <w:style w:type="character" w:customStyle="1" w:styleId="DefaultParagraphFont1">
    <w:name w:val="Default Paragraph Font1"/>
  </w:style>
  <w:style w:type="character" w:customStyle="1" w:styleId="InternetLink">
    <w:name w:val="Internet Link"/>
    <w:rPr>
      <w:color w:val="0000CC"/>
      <w:u w:val="single"/>
      <w:lang w:val="en-US" w:eastAsia="en-US" w:bidi="en-US"/>
    </w:rPr>
  </w:style>
  <w:style w:type="character" w:customStyle="1" w:styleId="StrongEmphasis">
    <w:name w:val="Strong Emphasis"/>
    <w:rPr>
      <w:b/>
      <w:bCs/>
    </w:rPr>
  </w:style>
  <w:style w:type="character" w:customStyle="1" w:styleId="HTMLPreformattedChar">
    <w:name w:val="HTML Preformatted Char"/>
    <w:basedOn w:val="DefaultParagraphFont1"/>
  </w:style>
  <w:style w:type="character" w:customStyle="1" w:styleId="FooterChar">
    <w:name w:val="Footer Char"/>
    <w:basedOn w:val="DefaultParagraphFont1"/>
  </w:style>
  <w:style w:type="character" w:styleId="FollowedHyperlink">
    <w:name w:val="FollowedHyperlink"/>
    <w:basedOn w:val="DefaultParagraphFont1"/>
  </w:style>
  <w:style w:type="character" w:customStyle="1" w:styleId="HeaderChar">
    <w:name w:val="Header Char"/>
    <w:basedOn w:val="DefaultParagraphFont1"/>
  </w:style>
  <w:style w:type="character" w:customStyle="1" w:styleId="BalloonTextChar">
    <w:name w:val="Balloon Text Char"/>
    <w:basedOn w:val="DefaultParagraphFont1"/>
  </w:style>
  <w:style w:type="character" w:customStyle="1" w:styleId="ListLabel4">
    <w:name w:val="ListLabel 4"/>
    <w:rPr>
      <w:rFonts w:cs="Helvetica"/>
    </w:rPr>
  </w:style>
  <w:style w:type="character" w:customStyle="1" w:styleId="ListLabel5">
    <w:name w:val="ListLabel 5"/>
    <w:rPr>
      <w:rFonts w:cs="Courier New"/>
    </w:rPr>
  </w:style>
  <w:style w:type="character" w:customStyle="1" w:styleId="ListLabel6">
    <w:name w:val="ListLabel 6"/>
    <w:rPr>
      <w:rFonts w:eastAsia="Calibri" w:cs="Times New Roman"/>
    </w:rPr>
  </w:style>
  <w:style w:type="character" w:customStyle="1" w:styleId="ListLabel7">
    <w:name w:val="ListLabel 7"/>
    <w:rPr>
      <w:rFonts w:eastAsia="Times New Roman" w:cs="Helvetica"/>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Helvetica" w:eastAsia="Arial Unicode MS" w:hAnsi="Helvetica" w:cs="Arial Unicode MS"/>
      <w:sz w:val="28"/>
      <w:szCs w:val="28"/>
    </w:rPr>
  </w:style>
  <w:style w:type="paragraph" w:customStyle="1" w:styleId="Textbody">
    <w:name w:val="Text body"/>
    <w:basedOn w:val="Normal"/>
    <w:pPr>
      <w:spacing w:after="120"/>
    </w:pPr>
  </w:style>
  <w:style w:type="paragraph" w:styleId="List">
    <w:name w:val="List"/>
    <w:basedOn w:val="Textbody"/>
    <w:rPr>
      <w:rFonts w:ascii="Palatino" w:hAnsi="Palatino" w:cs="Lohit Devanagari"/>
    </w:rPr>
  </w:style>
  <w:style w:type="paragraph" w:styleId="Caption">
    <w:name w:val="caption"/>
    <w:basedOn w:val="Normal"/>
    <w:pPr>
      <w:suppressLineNumbers/>
      <w:spacing w:before="120" w:after="120"/>
    </w:pPr>
    <w:rPr>
      <w:rFonts w:ascii="Palatino" w:hAnsi="Palatino"/>
      <w:i/>
      <w:iCs/>
    </w:rPr>
  </w:style>
  <w:style w:type="paragraph" w:customStyle="1" w:styleId="Index">
    <w:name w:val="Index"/>
    <w:basedOn w:val="Normal"/>
    <w:pPr>
      <w:suppressLineNumbers/>
    </w:pPr>
    <w:rPr>
      <w:rFonts w:ascii="Palatino" w:hAnsi="Palatino" w:cs="Lohit Devanagari"/>
    </w:rPr>
  </w:style>
  <w:style w:type="paragraph" w:styleId="NormalWeb">
    <w:name w:val="Normal (Web)"/>
    <w:basedOn w:val="Normal"/>
  </w:style>
  <w:style w:type="paragraph" w:styleId="ListParagraph">
    <w:name w:val="List Paragraph"/>
    <w:basedOn w:val="Normal"/>
  </w:style>
  <w:style w:type="paragraph" w:styleId="HTMLPreformatted">
    <w:name w:val="HTML Preformatted"/>
    <w:basedOn w:val="Normal"/>
  </w:style>
  <w:style w:type="paragraph" w:styleId="Footer">
    <w:name w:val="footer"/>
    <w:basedOn w:val="Normal"/>
    <w:pPr>
      <w:suppressLineNumbers/>
      <w:tabs>
        <w:tab w:val="center" w:pos="4680"/>
        <w:tab w:val="right" w:pos="9360"/>
      </w:tabs>
    </w:pPr>
    <w:rPr>
      <w:rFonts w:ascii="Helvetica" w:eastAsia="Times New Roman" w:hAnsi="Helvetica" w:cs="Helvetica"/>
      <w:sz w:val="20"/>
      <w:szCs w:val="20"/>
    </w:rPr>
  </w:style>
  <w:style w:type="paragraph" w:styleId="Header">
    <w:name w:val="header"/>
    <w:basedOn w:val="Normal"/>
    <w:pPr>
      <w:suppressLineNumbers/>
      <w:tabs>
        <w:tab w:val="center" w:pos="4680"/>
        <w:tab w:val="right" w:pos="9360"/>
      </w:tabs>
    </w:pPr>
  </w:style>
  <w:style w:type="paragraph" w:styleId="BalloonText">
    <w:name w:val="Balloon Text"/>
    <w:basedOn w:val="Normal"/>
  </w:style>
  <w:style w:type="paragraph" w:styleId="Revision">
    <w:name w:val="Revision"/>
    <w:pPr>
      <w:tabs>
        <w:tab w:val="left" w:pos="720"/>
      </w:tabs>
      <w:suppressAutoHyphens/>
    </w:pPr>
    <w:rPr>
      <w:rFonts w:ascii="Verdana" w:eastAsia="Calibri" w:hAnsi="Verdana" w:cs="Verdana"/>
      <w:color w:val="000000"/>
      <w:sz w:val="24"/>
      <w:szCs w:val="24"/>
      <w:lang w:eastAsia="ar-SA"/>
    </w:rPr>
  </w:style>
  <w:style w:type="character" w:styleId="Hyperlink">
    <w:name w:val="Hyperlink"/>
    <w:basedOn w:val="DefaultParagraphFont"/>
    <w:uiPriority w:val="99"/>
    <w:unhideWhenUsed/>
    <w:rsid w:val="00922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asis-open.org/who/intellectualproperty.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oasis-open.org/amqp/core/v1.0/amqp-core-complete-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Deutsche Börse Group</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Jeyaraman</dc:creator>
  <cp:lastModifiedBy>Moravec Andreas</cp:lastModifiedBy>
  <cp:revision>5</cp:revision>
  <cp:lastPrinted>2012-08-02T11:29:00Z</cp:lastPrinted>
  <dcterms:created xsi:type="dcterms:W3CDTF">2012-08-02T11:20:00Z</dcterms:created>
  <dcterms:modified xsi:type="dcterms:W3CDTF">2012-08-02T12:28:00Z</dcterms:modified>
</cp:coreProperties>
</file>