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b w:val="1"/>
          <w:color w:val="666666"/>
          <w:sz w:val="28"/>
          <w:szCs w:val="28"/>
        </w:rPr>
      </w:pPr>
      <w:r w:rsidDel="00000000" w:rsidR="00000000" w:rsidRPr="00000000">
        <w:rPr>
          <w:b w:val="1"/>
          <w:color w:val="666666"/>
          <w:sz w:val="28"/>
          <w:szCs w:val="28"/>
          <w:rtl w:val="0"/>
        </w:rPr>
        <w:t xml:space="preserve">OASIS Committee Note</w:t>
      </w:r>
    </w:p>
    <w:p w:rsidR="00000000" w:rsidDel="00000000" w:rsidP="00000000" w:rsidRDefault="00000000" w:rsidRPr="00000000" w14:paraId="00000002">
      <w:pPr>
        <w:rPr/>
      </w:pPr>
      <w:r w:rsidDel="00000000" w:rsidR="00000000" w:rsidRPr="00000000">
        <w:rPr>
          <w:rtl w:val="0"/>
        </w:rPr>
        <w:t xml:space="preserve">____________________________________________________________________________________</w:t>
      </w:r>
    </w:p>
    <w:p w:rsidR="00000000" w:rsidDel="00000000" w:rsidP="00000000" w:rsidRDefault="00000000" w:rsidRPr="00000000" w14:paraId="00000003">
      <w:pPr>
        <w:pStyle w:val="Title"/>
        <w:rPr/>
      </w:pPr>
      <w:bookmarkStart w:colFirst="0" w:colLast="0" w:name="_mo7h129z1rss" w:id="0"/>
      <w:bookmarkEnd w:id="0"/>
      <w:r w:rsidDel="00000000" w:rsidR="00000000" w:rsidRPr="00000000">
        <w:rPr>
          <w:rtl w:val="0"/>
        </w:rPr>
        <w:t xml:space="preserve">Playbook Requirements Version 1.0</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pStyle w:val="Subtitle"/>
        <w:spacing w:after="0" w:lineRule="auto"/>
        <w:rPr>
          <w:sz w:val="24"/>
          <w:szCs w:val="24"/>
        </w:rPr>
      </w:pPr>
      <w:bookmarkStart w:colFirst="0" w:colLast="0" w:name="_ehzdxcsjrzgp" w:id="1"/>
      <w:bookmarkEnd w:id="1"/>
      <w:r w:rsidDel="00000000" w:rsidR="00000000" w:rsidRPr="00000000">
        <w:rPr>
          <w:sz w:val="24"/>
          <w:szCs w:val="24"/>
          <w:rtl w:val="0"/>
        </w:rPr>
        <w:t xml:space="preserve">Working Draft 01</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pStyle w:val="Subtitle"/>
        <w:spacing w:after="0" w:before="120" w:line="240" w:lineRule="auto"/>
        <w:rPr>
          <w:b w:val="1"/>
          <w:color w:val="3b0070"/>
          <w:sz w:val="24"/>
          <w:szCs w:val="24"/>
        </w:rPr>
      </w:pPr>
      <w:bookmarkStart w:colFirst="0" w:colLast="0" w:name="_alhuw2ux8ur0" w:id="2"/>
      <w:bookmarkEnd w:id="2"/>
      <w:r w:rsidDel="00000000" w:rsidR="00000000" w:rsidRPr="00000000">
        <w:rPr>
          <w:sz w:val="24"/>
          <w:szCs w:val="24"/>
          <w:rtl w:val="0"/>
        </w:rPr>
        <w:t xml:space="preserve">28</w:t>
      </w:r>
      <w:r w:rsidDel="00000000" w:rsidR="00000000" w:rsidRPr="00000000">
        <w:rPr>
          <w:b w:val="1"/>
          <w:color w:val="3b0070"/>
          <w:sz w:val="24"/>
          <w:szCs w:val="24"/>
          <w:rtl w:val="0"/>
        </w:rPr>
        <w:t xml:space="preserve"> </w:t>
      </w:r>
      <w:r w:rsidDel="00000000" w:rsidR="00000000" w:rsidRPr="00000000">
        <w:rPr>
          <w:sz w:val="24"/>
          <w:szCs w:val="24"/>
          <w:rtl w:val="0"/>
        </w:rPr>
        <w:t xml:space="preserve">January</w:t>
      </w:r>
      <w:r w:rsidDel="00000000" w:rsidR="00000000" w:rsidRPr="00000000">
        <w:rPr>
          <w:b w:val="1"/>
          <w:color w:val="3b0070"/>
          <w:sz w:val="24"/>
          <w:szCs w:val="24"/>
          <w:rtl w:val="0"/>
        </w:rPr>
        <w:t xml:space="preserve"> 2</w:t>
      </w:r>
      <w:r w:rsidDel="00000000" w:rsidR="00000000" w:rsidRPr="00000000">
        <w:rPr>
          <w:sz w:val="24"/>
          <w:szCs w:val="24"/>
          <w:rtl w:val="0"/>
        </w:rPr>
        <w:t xml:space="preserve">020</w: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pStyle w:val="Subtitle"/>
        <w:spacing w:after="0" w:before="120" w:line="240" w:lineRule="auto"/>
        <w:rPr>
          <w:b w:val="1"/>
          <w:color w:val="3b0070"/>
          <w:sz w:val="20"/>
          <w:szCs w:val="20"/>
        </w:rPr>
      </w:pPr>
      <w:bookmarkStart w:colFirst="0" w:colLast="0" w:name="_23o3f7qw8a8n" w:id="3"/>
      <w:bookmarkEnd w:id="3"/>
      <w:r w:rsidDel="00000000" w:rsidR="00000000" w:rsidRPr="00000000">
        <w:rPr>
          <w:b w:val="1"/>
          <w:color w:val="3b0070"/>
          <w:sz w:val="20"/>
          <w:szCs w:val="20"/>
          <w:rtl w:val="0"/>
        </w:rPr>
        <w:t xml:space="preserve">​Technical Committee:</w:t>
      </w:r>
    </w:p>
    <w:p w:rsidR="00000000" w:rsidDel="00000000" w:rsidP="00000000" w:rsidRDefault="00000000" w:rsidRPr="00000000" w14:paraId="0000000A">
      <w:pPr>
        <w:rPr/>
      </w:pPr>
      <w:r w:rsidDel="00000000" w:rsidR="00000000" w:rsidRPr="00000000">
        <w:rPr>
          <w:rtl w:val="0"/>
        </w:rPr>
        <w:t xml:space="preserve">[</w:t>
      </w:r>
      <w:r w:rsidDel="00000000" w:rsidR="00000000" w:rsidRPr="00000000">
        <w:rPr>
          <w:rtl w:val="0"/>
        </w:rPr>
        <w:t xml:space="preserve">OASIS Collaborative Automated Course of Action Operations (CACAO) for Cyber Security TC](</w:t>
      </w:r>
      <w:hyperlink r:id="rId6">
        <w:r w:rsidDel="00000000" w:rsidR="00000000" w:rsidRPr="00000000">
          <w:rPr>
            <w:color w:val="1155cc"/>
            <w:u w:val="single"/>
            <w:rtl w:val="0"/>
          </w:rPr>
          <w:t xml:space="preserve">https://www.oasis-open.org/committees/cacao/</w:t>
        </w:r>
      </w:hyperlink>
      <w:r w:rsidDel="00000000" w:rsidR="00000000" w:rsidRPr="00000000">
        <w:rPr>
          <w:rtl w:val="0"/>
        </w:rPr>
        <w:t xml:space="preserve">)</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pStyle w:val="Subtitle"/>
        <w:spacing w:after="0" w:before="120" w:line="240" w:lineRule="auto"/>
        <w:rPr>
          <w:b w:val="1"/>
          <w:color w:val="3b0070"/>
          <w:sz w:val="20"/>
          <w:szCs w:val="20"/>
        </w:rPr>
      </w:pPr>
      <w:bookmarkStart w:colFirst="0" w:colLast="0" w:name="_6ee5ghdmll1d" w:id="4"/>
      <w:bookmarkEnd w:id="4"/>
      <w:r w:rsidDel="00000000" w:rsidR="00000000" w:rsidRPr="00000000">
        <w:rPr>
          <w:b w:val="1"/>
          <w:color w:val="3b0070"/>
          <w:sz w:val="20"/>
          <w:szCs w:val="20"/>
          <w:rtl w:val="0"/>
        </w:rPr>
        <w:t xml:space="preserve">Chairs:</w:t>
      </w:r>
    </w:p>
    <w:p w:rsidR="00000000" w:rsidDel="00000000" w:rsidP="00000000" w:rsidRDefault="00000000" w:rsidRPr="00000000" w14:paraId="0000000D">
      <w:pPr>
        <w:rPr/>
      </w:pPr>
      <w:r w:rsidDel="00000000" w:rsidR="00000000" w:rsidRPr="00000000">
        <w:rPr>
          <w:rtl w:val="0"/>
        </w:rPr>
        <w:t xml:space="preserve">Bret Jordan (</w:t>
      </w:r>
      <w:hyperlink r:id="rId7">
        <w:r w:rsidDel="00000000" w:rsidR="00000000" w:rsidRPr="00000000">
          <w:rPr>
            <w:color w:val="1155cc"/>
            <w:u w:val="single"/>
            <w:rtl w:val="0"/>
          </w:rPr>
          <w:t xml:space="preserve">bret.jordan@broadcom.com</w:t>
        </w:r>
      </w:hyperlink>
      <w:r w:rsidDel="00000000" w:rsidR="00000000" w:rsidRPr="00000000">
        <w:rPr>
          <w:rtl w:val="0"/>
        </w:rPr>
        <w:t xml:space="preserve">), [Broadcom</w:t>
      </w:r>
      <w:r w:rsidDel="00000000" w:rsidR="00000000" w:rsidRPr="00000000">
        <w:rPr>
          <w:rtl w:val="0"/>
        </w:rPr>
        <w:t xml:space="preserve">](</w:t>
      </w:r>
      <w:hyperlink r:id="rId8">
        <w:r w:rsidDel="00000000" w:rsidR="00000000" w:rsidRPr="00000000">
          <w:rPr>
            <w:color w:val="1155cc"/>
            <w:u w:val="single"/>
            <w:rtl w:val="0"/>
          </w:rPr>
          <w:t xml:space="preserve">https://www.broadcom.com/</w:t>
        </w:r>
      </w:hyperlink>
      <w:r w:rsidDel="00000000" w:rsidR="00000000" w:rsidRPr="00000000">
        <w:rPr>
          <w:rtl w:val="0"/>
        </w:rPr>
        <w:t xml:space="preserve">)</w:t>
      </w:r>
    </w:p>
    <w:p w:rsidR="00000000" w:rsidDel="00000000" w:rsidP="00000000" w:rsidRDefault="00000000" w:rsidRPr="00000000" w14:paraId="0000000E">
      <w:pPr>
        <w:rPr/>
      </w:pPr>
      <w:r w:rsidDel="00000000" w:rsidR="00000000" w:rsidRPr="00000000">
        <w:rPr>
          <w:rtl w:val="0"/>
        </w:rPr>
        <w:t xml:space="preserve">Allan Thomson (</w:t>
      </w:r>
      <w:hyperlink r:id="rId9">
        <w:r w:rsidDel="00000000" w:rsidR="00000000" w:rsidRPr="00000000">
          <w:rPr>
            <w:color w:val="1155cc"/>
            <w:u w:val="single"/>
            <w:rtl w:val="0"/>
          </w:rPr>
          <w:t xml:space="preserve">athomson@lookingglasscyber.com</w:t>
        </w:r>
      </w:hyperlink>
      <w:r w:rsidDel="00000000" w:rsidR="00000000" w:rsidRPr="00000000">
        <w:rPr>
          <w:rtl w:val="0"/>
        </w:rPr>
        <w:t xml:space="preserve">), [</w:t>
      </w:r>
      <w:r w:rsidDel="00000000" w:rsidR="00000000" w:rsidRPr="00000000">
        <w:rPr>
          <w:rtl w:val="0"/>
        </w:rPr>
        <w:t xml:space="preserve">LookingGlass](</w:t>
      </w:r>
      <w:hyperlink r:id="rId10">
        <w:r w:rsidDel="00000000" w:rsidR="00000000" w:rsidRPr="00000000">
          <w:rPr>
            <w:color w:val="1155cc"/>
            <w:u w:val="single"/>
            <w:rtl w:val="0"/>
          </w:rPr>
          <w:t xml:space="preserve">https://www.lookingglasscyber.com/</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pStyle w:val="Subtitle"/>
        <w:spacing w:after="0" w:before="120" w:line="240" w:lineRule="auto"/>
        <w:rPr/>
      </w:pPr>
      <w:bookmarkStart w:colFirst="0" w:colLast="0" w:name="_dnzueyrz1bp" w:id="5"/>
      <w:bookmarkEnd w:id="5"/>
      <w:r w:rsidDel="00000000" w:rsidR="00000000" w:rsidRPr="00000000">
        <w:rPr>
          <w:b w:val="1"/>
          <w:color w:val="3b0070"/>
          <w:sz w:val="20"/>
          <w:szCs w:val="20"/>
          <w:rtl w:val="0"/>
        </w:rPr>
        <w:t xml:space="preserve">​Editors: </w:t>
      </w: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Bret Jordan (</w:t>
      </w:r>
      <w:hyperlink r:id="rId11">
        <w:r w:rsidDel="00000000" w:rsidR="00000000" w:rsidRPr="00000000">
          <w:rPr>
            <w:color w:val="1155cc"/>
            <w:u w:val="single"/>
            <w:rtl w:val="0"/>
          </w:rPr>
          <w:t xml:space="preserve">bret.jordan@broadcom.com</w:t>
        </w:r>
      </w:hyperlink>
      <w:r w:rsidDel="00000000" w:rsidR="00000000" w:rsidRPr="00000000">
        <w:rPr>
          <w:rtl w:val="0"/>
        </w:rPr>
        <w:t xml:space="preserve">), [Broadcom](</w:t>
      </w:r>
      <w:hyperlink r:id="rId12">
        <w:r w:rsidDel="00000000" w:rsidR="00000000" w:rsidRPr="00000000">
          <w:rPr>
            <w:color w:val="1155cc"/>
            <w:u w:val="single"/>
            <w:rtl w:val="0"/>
          </w:rPr>
          <w:t xml:space="preserve">https://www.broadcom.com/</w:t>
        </w:r>
      </w:hyperlink>
      <w:r w:rsidDel="00000000" w:rsidR="00000000" w:rsidRPr="00000000">
        <w:rPr>
          <w:rtl w:val="0"/>
        </w:rPr>
        <w:t xml:space="preserve">)</w:t>
      </w:r>
    </w:p>
    <w:p w:rsidR="00000000" w:rsidDel="00000000" w:rsidP="00000000" w:rsidRDefault="00000000" w:rsidRPr="00000000" w14:paraId="00000012">
      <w:pPr>
        <w:rPr/>
      </w:pPr>
      <w:r w:rsidDel="00000000" w:rsidR="00000000" w:rsidRPr="00000000">
        <w:rPr>
          <w:rtl w:val="0"/>
        </w:rPr>
        <w:t xml:space="preserve">Allan Thomson (</w:t>
      </w:r>
      <w:hyperlink r:id="rId13">
        <w:r w:rsidDel="00000000" w:rsidR="00000000" w:rsidRPr="00000000">
          <w:rPr>
            <w:color w:val="1155cc"/>
            <w:u w:val="single"/>
            <w:rtl w:val="0"/>
          </w:rPr>
          <w:t xml:space="preserve">athomson@lookingglasscyber.com</w:t>
        </w:r>
      </w:hyperlink>
      <w:r w:rsidDel="00000000" w:rsidR="00000000" w:rsidRPr="00000000">
        <w:rPr>
          <w:rtl w:val="0"/>
        </w:rPr>
        <w:t xml:space="preserve">), [LookingGlass](</w:t>
      </w:r>
      <w:hyperlink r:id="rId14">
        <w:r w:rsidDel="00000000" w:rsidR="00000000" w:rsidRPr="00000000">
          <w:rPr>
            <w:color w:val="1155cc"/>
            <w:u w:val="single"/>
            <w:rtl w:val="0"/>
          </w:rPr>
          <w:t xml:space="preserve">https://www.lookingglasscyber.com/</w:t>
        </w:r>
      </w:hyperlink>
      <w:r w:rsidDel="00000000" w:rsidR="00000000" w:rsidRPr="00000000">
        <w:rPr>
          <w:rtl w:val="0"/>
        </w:rPr>
        <w:t xml:space="preserve">)</w:t>
      </w:r>
    </w:p>
    <w:p w:rsidR="00000000" w:rsidDel="00000000" w:rsidP="00000000" w:rsidRDefault="00000000" w:rsidRPr="00000000" w14:paraId="00000013">
      <w:pPr>
        <w:pStyle w:val="Subtitle"/>
        <w:spacing w:after="0" w:lineRule="auto"/>
        <w:rPr>
          <w:sz w:val="20"/>
          <w:szCs w:val="20"/>
        </w:rPr>
      </w:pPr>
      <w:bookmarkStart w:colFirst="0" w:colLast="0" w:name="_bu9tnzoxhm2y" w:id="6"/>
      <w:bookmarkEnd w:id="6"/>
      <w:r w:rsidDel="00000000" w:rsidR="00000000" w:rsidRPr="00000000">
        <w:rPr>
          <w:rtl w:val="0"/>
        </w:rPr>
      </w:r>
    </w:p>
    <w:p w:rsidR="00000000" w:rsidDel="00000000" w:rsidP="00000000" w:rsidRDefault="00000000" w:rsidRPr="00000000" w14:paraId="00000014">
      <w:pPr>
        <w:pStyle w:val="Subtitle"/>
        <w:rPr>
          <w:sz w:val="20"/>
          <w:szCs w:val="20"/>
        </w:rPr>
      </w:pPr>
      <w:bookmarkStart w:colFirst="0" w:colLast="0" w:name="_bsxrvzylh9ra" w:id="7"/>
      <w:bookmarkEnd w:id="7"/>
      <w:r w:rsidDel="00000000" w:rsidR="00000000" w:rsidRPr="00000000">
        <w:rPr>
          <w:rtl w:val="0"/>
        </w:rPr>
        <w:t xml:space="preserve">Additional artifacts:</w:t>
      </w: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&lt;TBD&gt;</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pStyle w:val="Subtitle"/>
        <w:spacing w:after="0" w:lineRule="auto"/>
        <w:rPr>
          <w:sz w:val="20"/>
          <w:szCs w:val="20"/>
        </w:rPr>
      </w:pPr>
      <w:bookmarkStart w:colFirst="0" w:colLast="0" w:name="_arcfp2wnpled" w:id="8"/>
      <w:bookmarkEnd w:id="8"/>
      <w:r w:rsidDel="00000000" w:rsidR="00000000" w:rsidRPr="00000000">
        <w:rPr>
          <w:sz w:val="20"/>
          <w:szCs w:val="20"/>
          <w:rtl w:val="0"/>
        </w:rPr>
        <w:t xml:space="preserve">Related work:</w:t>
      </w:r>
    </w:p>
    <w:p w:rsidR="00000000" w:rsidDel="00000000" w:rsidP="00000000" w:rsidRDefault="00000000" w:rsidRPr="00000000" w14:paraId="00000018">
      <w:pPr>
        <w:rPr/>
      </w:pPr>
      <w:r w:rsidDel="00000000" w:rsidR="00000000" w:rsidRPr="00000000">
        <w:rPr>
          <w:rtl w:val="0"/>
        </w:rPr>
        <w:t xml:space="preserve">This document is related to:</w:t>
      </w:r>
    </w:p>
    <w:p w:rsidR="00000000" w:rsidDel="00000000" w:rsidP="00000000" w:rsidRDefault="00000000" w:rsidRPr="00000000" w14:paraId="00000019">
      <w:pPr>
        <w:numPr>
          <w:ilvl w:val="0"/>
          <w:numId w:val="3"/>
        </w:numPr>
        <w:ind w:left="720" w:hanging="360"/>
        <w:rPr>
          <w:u w:val="none"/>
        </w:rPr>
      </w:pPr>
      <w:r w:rsidDel="00000000" w:rsidR="00000000" w:rsidRPr="00000000">
        <w:rPr>
          <w:rtl w:val="0"/>
        </w:rPr>
        <w:t xml:space="preserve">CACAO Introduction Version 01. Edited by Bret Jordan, Allan Thomson, and Jyoti Verma. Latest version: </w:t>
      </w:r>
      <w:hyperlink r:id="rId15">
        <w:r w:rsidDel="00000000" w:rsidR="00000000" w:rsidRPr="00000000">
          <w:rPr>
            <w:color w:val="1155cc"/>
            <w:u w:val="single"/>
            <w:rtl w:val="0"/>
          </w:rPr>
          <w:t xml:space="preserve">https://tools.ietf.org/html/draft-jordan-cacao-introduction-01</w:t>
        </w:r>
      </w:hyperlink>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pStyle w:val="Subtitle"/>
        <w:spacing w:after="0" w:lineRule="auto"/>
        <w:rPr>
          <w:sz w:val="20"/>
          <w:szCs w:val="20"/>
        </w:rPr>
      </w:pPr>
      <w:bookmarkStart w:colFirst="0" w:colLast="0" w:name="_pm04a8sgstx0" w:id="9"/>
      <w:bookmarkEnd w:id="9"/>
      <w:r w:rsidDel="00000000" w:rsidR="00000000" w:rsidRPr="00000000">
        <w:rPr>
          <w:sz w:val="20"/>
          <w:szCs w:val="20"/>
          <w:rtl w:val="0"/>
        </w:rPr>
        <w:t xml:space="preserve">Abstract:</w:t>
      </w:r>
    </w:p>
    <w:p w:rsidR="00000000" w:rsidDel="00000000" w:rsidP="00000000" w:rsidRDefault="00000000" w:rsidRPr="00000000" w14:paraId="0000001C">
      <w:pPr>
        <w:rPr/>
      </w:pPr>
      <w:r w:rsidDel="00000000" w:rsidR="00000000" w:rsidRPr="00000000">
        <w:rPr>
          <w:rtl w:val="0"/>
        </w:rPr>
        <w:t xml:space="preserve">To defend against threat actors and their tactics, techniques, and procedures, organizations need to identify, create, document and test investigative, preventive, mitigative, and remediative steps. These steps, when grouped together, form a cyber security playbook that can be used to protect organizational systems, networks, data, and users. </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This document defines the core requirements for how cyber security playbooks can be created, documented, and shared in a structured and standardized way across organizational boundaries and technological solutions.</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pStyle w:val="Subtitle"/>
        <w:spacing w:after="0" w:lineRule="auto"/>
        <w:rPr>
          <w:sz w:val="20"/>
          <w:szCs w:val="20"/>
        </w:rPr>
      </w:pPr>
      <w:bookmarkStart w:colFirst="0" w:colLast="0" w:name="_slt15ojezpfz" w:id="10"/>
      <w:bookmarkEnd w:id="10"/>
      <w:r w:rsidDel="00000000" w:rsidR="00000000" w:rsidRPr="00000000">
        <w:rPr>
          <w:sz w:val="20"/>
          <w:szCs w:val="20"/>
          <w:rtl w:val="0"/>
        </w:rPr>
        <w:t xml:space="preserve">Status:</w:t>
      </w:r>
    </w:p>
    <w:p w:rsidR="00000000" w:rsidDel="00000000" w:rsidP="00000000" w:rsidRDefault="00000000" w:rsidRPr="00000000" w14:paraId="00000021">
      <w:pPr>
        <w:rPr/>
      </w:pPr>
      <w:r w:rsidDel="00000000" w:rsidR="00000000" w:rsidRPr="00000000">
        <w:rPr>
          <w:rtl w:val="0"/>
        </w:rPr>
        <w:t xml:space="preserve">This [Working Draft](</w:t>
      </w:r>
      <w:hyperlink r:id="rId16">
        <w:r w:rsidDel="00000000" w:rsidR="00000000" w:rsidRPr="00000000">
          <w:rPr>
            <w:color w:val="1155cc"/>
            <w:u w:val="single"/>
            <w:rtl w:val="0"/>
          </w:rPr>
          <w:t xml:space="preserve">https://www.oasis-open.org/policies-guidelines/tc-process#dWorkingDraft</w:t>
        </w:r>
      </w:hyperlink>
      <w:r w:rsidDel="00000000" w:rsidR="00000000" w:rsidRPr="00000000">
        <w:rPr>
          <w:rtl w:val="0"/>
        </w:rPr>
        <w:t xml:space="preserve">) (WD) has been produced by one or more TC Members; it has not yet been voted on by the TC or [approved](</w:t>
      </w:r>
      <w:hyperlink r:id="rId17">
        <w:r w:rsidDel="00000000" w:rsidR="00000000" w:rsidRPr="00000000">
          <w:rPr>
            <w:color w:val="1155cc"/>
            <w:u w:val="single"/>
            <w:rtl w:val="0"/>
          </w:rPr>
          <w:t xml:space="preserve">https://www.oasis-open.org/policies-guidelines/tc-process#committeeDraft</w:t>
        </w:r>
      </w:hyperlink>
      <w:r w:rsidDel="00000000" w:rsidR="00000000" w:rsidRPr="00000000">
        <w:rPr>
          <w:rtl w:val="0"/>
        </w:rPr>
        <w:t xml:space="preserve">) as a Committee Note Draft. The OASIS document [Approval Process](</w:t>
      </w:r>
      <w:hyperlink r:id="rId18">
        <w:r w:rsidDel="00000000" w:rsidR="00000000" w:rsidRPr="00000000">
          <w:rPr>
            <w:color w:val="1155cc"/>
            <w:u w:val="single"/>
            <w:rtl w:val="0"/>
          </w:rPr>
          <w:t xml:space="preserve">https://www.oasis-open.org/policies-guidelines/tc-process#standApprovProcess</w:t>
        </w:r>
      </w:hyperlink>
      <w:r w:rsidDel="00000000" w:rsidR="00000000" w:rsidRPr="00000000">
        <w:rPr>
          <w:rtl w:val="0"/>
        </w:rPr>
        <w:t xml:space="preserve">) begins officially with a TC vote to approve a WD as a Committee Note Draft. A TC may approve a Working Draft, revise it, and re-approve it any number of times as a Committee Note Draft.</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This committee note is provided under the [</w:t>
      </w:r>
      <w:r w:rsidDel="00000000" w:rsidR="00000000" w:rsidRPr="00000000">
        <w:rPr>
          <w:rtl w:val="0"/>
        </w:rPr>
        <w:t xml:space="preserve">Non-Assertion](</w:t>
      </w:r>
      <w:hyperlink r:id="rId19">
        <w:r w:rsidDel="00000000" w:rsidR="00000000" w:rsidRPr="00000000">
          <w:rPr>
            <w:color w:val="1155cc"/>
            <w:u w:val="single"/>
            <w:rtl w:val="0"/>
          </w:rPr>
          <w:t xml:space="preserve">https://www.oasis-open.org/policies-guidelines/ipr#Non-Assertion-Mode</w:t>
        </w:r>
      </w:hyperlink>
      <w:r w:rsidDel="00000000" w:rsidR="00000000" w:rsidRPr="00000000">
        <w:rPr>
          <w:rtl w:val="0"/>
        </w:rPr>
        <w:t xml:space="preserve">)</w:t>
      </w:r>
      <w:r w:rsidDel="00000000" w:rsidR="00000000" w:rsidRPr="00000000">
        <w:rPr>
          <w:rtl w:val="0"/>
        </w:rPr>
        <w:t xml:space="preserve"> Mode of the [</w:t>
      </w:r>
      <w:r w:rsidDel="00000000" w:rsidR="00000000" w:rsidRPr="00000000">
        <w:rPr>
          <w:rtl w:val="0"/>
        </w:rPr>
        <w:t xml:space="preserve">OASIS IPR Policy](https://www.oasis-open.org/policies-guidelines/ipr)</w:t>
      </w:r>
      <w:r w:rsidDel="00000000" w:rsidR="00000000" w:rsidRPr="00000000">
        <w:rPr>
          <w:rtl w:val="0"/>
        </w:rPr>
        <w:t xml:space="preserve">, the mode chosen when the Technical Committee was established. For information on whether any patents have been disclosed that may be essential to implementing this specification, and any offers of patent licensing terms, please refer to the Intellectual Property Rights section of the TC’s web page [https://www.oasis-open.org/committees/cacao/ipr.php](</w:t>
      </w:r>
      <w:hyperlink r:id="rId20">
        <w:r w:rsidDel="00000000" w:rsidR="00000000" w:rsidRPr="00000000">
          <w:rPr>
            <w:color w:val="1155cc"/>
            <w:u w:val="single"/>
            <w:rtl w:val="0"/>
          </w:rPr>
          <w:t xml:space="preserve">https://www.oasis-open.org/committees/cacao/ipr.php</w:t>
        </w:r>
      </w:hyperlink>
      <w:r w:rsidDel="00000000" w:rsidR="00000000" w:rsidRPr="00000000">
        <w:rPr>
          <w:rtl w:val="0"/>
        </w:rPr>
        <w:t xml:space="preserve">). Note that any machine-readable content ([</w:t>
      </w:r>
      <w:r w:rsidDel="00000000" w:rsidR="00000000" w:rsidRPr="00000000">
        <w:rPr>
          <w:rtl w:val="0"/>
        </w:rPr>
        <w:t xml:space="preserve">Computer Language Definitions](</w:t>
      </w:r>
      <w:hyperlink r:id="rId21">
        <w:r w:rsidDel="00000000" w:rsidR="00000000" w:rsidRPr="00000000">
          <w:rPr>
            <w:color w:val="1155cc"/>
            <w:u w:val="single"/>
            <w:rtl w:val="0"/>
          </w:rPr>
          <w:t xml:space="preserve">https://www.oasis-open.org/policies-guidelines/tc-process#wpComponentsCompLang</w:t>
        </w:r>
      </w:hyperlink>
      <w:r w:rsidDel="00000000" w:rsidR="00000000" w:rsidRPr="00000000">
        <w:rPr>
          <w:rtl w:val="0"/>
        </w:rPr>
        <w:t xml:space="preserve">)</w:t>
      </w:r>
      <w:r w:rsidDel="00000000" w:rsidR="00000000" w:rsidRPr="00000000">
        <w:rPr>
          <w:rtl w:val="0"/>
        </w:rPr>
        <w:t xml:space="preserve">) declared Normative for this Work Product is provided in separate plain text files. In the event of a discrepancy between any such plain text file and display content in the Work Product's prose narrative document(s), the content in the separate plain text file prevails.</w:t>
      </w: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pStyle w:val="Subtitle"/>
        <w:spacing w:after="0" w:lineRule="auto"/>
        <w:rPr>
          <w:sz w:val="20"/>
          <w:szCs w:val="20"/>
        </w:rPr>
      </w:pPr>
      <w:bookmarkStart w:colFirst="0" w:colLast="0" w:name="_48ww73spg8iu" w:id="11"/>
      <w:bookmarkEnd w:id="11"/>
      <w:r w:rsidDel="00000000" w:rsidR="00000000" w:rsidRPr="00000000">
        <w:rPr>
          <w:sz w:val="20"/>
          <w:szCs w:val="20"/>
          <w:rtl w:val="0"/>
        </w:rPr>
        <w:t xml:space="preserve">URI patterns:</w:t>
      </w:r>
    </w:p>
    <w:p w:rsidR="00000000" w:rsidDel="00000000" w:rsidP="00000000" w:rsidRDefault="00000000" w:rsidRPr="00000000" w14:paraId="00000026">
      <w:pPr>
        <w:rPr/>
      </w:pPr>
      <w:r w:rsidDel="00000000" w:rsidR="00000000" w:rsidRPr="00000000">
        <w:rPr>
          <w:rtl w:val="0"/>
        </w:rPr>
        <w:t xml:space="preserve">Initial publication URI:</w:t>
      </w:r>
    </w:p>
    <w:p w:rsidR="00000000" w:rsidDel="00000000" w:rsidP="00000000" w:rsidRDefault="00000000" w:rsidRPr="00000000" w14:paraId="00000027">
      <w:pPr>
        <w:rPr/>
      </w:pPr>
      <w:hyperlink r:id="rId22">
        <w:r w:rsidDel="00000000" w:rsidR="00000000" w:rsidRPr="00000000">
          <w:rPr>
            <w:color w:val="1155cc"/>
            <w:u w:val="single"/>
            <w:rtl w:val="0"/>
          </w:rPr>
          <w:t xml:space="preserve">https://docs.oasis-open.org/cacao/playbook-requirements/v1.0/cnd01/playbook-requirements-v1.0-cnd01.docx</w:t>
        </w:r>
      </w:hyperlink>
      <w:r w:rsidDel="00000000" w:rsidR="00000000" w:rsidRPr="00000000">
        <w:rPr>
          <w:rtl w:val="0"/>
        </w:rPr>
        <w:t xml:space="preserve">.</w:t>
      </w:r>
    </w:p>
    <w:p w:rsidR="00000000" w:rsidDel="00000000" w:rsidP="00000000" w:rsidRDefault="00000000" w:rsidRPr="00000000" w14:paraId="00000028">
      <w:pPr>
        <w:rPr/>
      </w:pPr>
      <w:r w:rsidDel="00000000" w:rsidR="00000000" w:rsidRPr="00000000">
        <w:rPr>
          <w:rtl w:val="0"/>
        </w:rPr>
        <w:t xml:space="preserve">Permanent "Latest stage" URI:</w:t>
      </w:r>
    </w:p>
    <w:p w:rsidR="00000000" w:rsidDel="00000000" w:rsidP="00000000" w:rsidRDefault="00000000" w:rsidRPr="00000000" w14:paraId="00000029">
      <w:pPr>
        <w:rPr/>
      </w:pPr>
      <w:hyperlink r:id="rId23">
        <w:r w:rsidDel="00000000" w:rsidR="00000000" w:rsidRPr="00000000">
          <w:rPr>
            <w:color w:val="1155cc"/>
            <w:u w:val="single"/>
            <w:rtl w:val="0"/>
          </w:rPr>
          <w:t xml:space="preserve">https://docs.oasis-open.org/cacao/playbook-requirements/v1.0/playbook-requirements-v1.0.docx</w:t>
        </w:r>
      </w:hyperlink>
      <w:r w:rsidDel="00000000" w:rsidR="00000000" w:rsidRPr="00000000">
        <w:rPr>
          <w:rtl w:val="0"/>
        </w:rPr>
        <w:t xml:space="preserve">.</w:t>
      </w:r>
    </w:p>
    <w:p w:rsidR="00000000" w:rsidDel="00000000" w:rsidP="00000000" w:rsidRDefault="00000000" w:rsidRPr="00000000" w14:paraId="0000002A">
      <w:pPr>
        <w:rPr/>
      </w:pPr>
      <w:r w:rsidDel="00000000" w:rsidR="00000000" w:rsidRPr="00000000">
        <w:rPr>
          <w:rtl w:val="0"/>
        </w:rPr>
        <w:t xml:space="preserve">(Managed by OASIS TC Administration; please don't modify.)</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br w:type="page"/>
      </w: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____________________________________________________________________________________</w:t>
      </w:r>
    </w:p>
    <w:p w:rsidR="00000000" w:rsidDel="00000000" w:rsidP="00000000" w:rsidRDefault="00000000" w:rsidRPr="00000000" w14:paraId="0000002F">
      <w:pPr>
        <w:rPr/>
      </w:pPr>
      <w:r w:rsidDel="00000000" w:rsidR="00000000" w:rsidRPr="00000000">
        <w:rPr>
          <w:b w:val="1"/>
          <w:color w:val="3b0070"/>
          <w:sz w:val="36"/>
          <w:szCs w:val="36"/>
          <w:rtl w:val="0"/>
        </w:rPr>
        <w:t xml:space="preserve">Notices</w:t>
      </w: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Copyright © OASIS Open 2020. All Rights Reserved.</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All capitalized terms in the following text have the meanings assigned to them in the OASIS Intellectual Property Rights Policy (the "OASIS IPR Policy"). The full [Policy](</w:t>
      </w:r>
      <w:hyperlink r:id="rId24">
        <w:r w:rsidDel="00000000" w:rsidR="00000000" w:rsidRPr="00000000">
          <w:rPr>
            <w:color w:val="1155cc"/>
            <w:u w:val="single"/>
            <w:rtl w:val="0"/>
          </w:rPr>
          <w:t xml:space="preserve">https://www.oasis-open.org/policies-guidelines/ipr</w:t>
        </w:r>
      </w:hyperlink>
      <w:r w:rsidDel="00000000" w:rsidR="00000000" w:rsidRPr="00000000">
        <w:rPr>
          <w:rtl w:val="0"/>
        </w:rPr>
        <w:t xml:space="preserve">) may be found at the OASIS website.</w:t>
      </w:r>
    </w:p>
    <w:p w:rsidR="00000000" w:rsidDel="00000000" w:rsidP="00000000" w:rsidRDefault="00000000" w:rsidRPr="00000000" w14:paraId="00000034">
      <w:pPr>
        <w:rPr/>
      </w:pPr>
      <w:r w:rsidDel="00000000" w:rsidR="00000000" w:rsidRPr="00000000">
        <w:rPr>
          <w:rtl w:val="0"/>
        </w:rPr>
        <w:t xml:space="preserve">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The limited permissions granted above are perpetual and will not be revoked by OASIS or its successors or assigns.</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____________________________________________________________________________________</w:t>
      </w:r>
    </w:p>
    <w:p w:rsidR="00000000" w:rsidDel="00000000" w:rsidP="00000000" w:rsidRDefault="00000000" w:rsidRPr="00000000" w14:paraId="0000003D">
      <w:pPr>
        <w:rPr>
          <w:b w:val="1"/>
          <w:color w:val="3b0070"/>
          <w:sz w:val="36"/>
          <w:szCs w:val="36"/>
        </w:rPr>
      </w:pPr>
      <w:r w:rsidDel="00000000" w:rsidR="00000000" w:rsidRPr="00000000">
        <w:rPr>
          <w:b w:val="1"/>
          <w:color w:val="3b0070"/>
          <w:sz w:val="36"/>
          <w:szCs w:val="36"/>
          <w:rtl w:val="0"/>
        </w:rPr>
        <w:t xml:space="preserve">Table of Contents</w:t>
      </w:r>
    </w:p>
    <w:p w:rsidR="00000000" w:rsidDel="00000000" w:rsidP="00000000" w:rsidRDefault="00000000" w:rsidRPr="00000000" w14:paraId="0000003E">
      <w:pPr>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3F">
          <w:pPr>
            <w:tabs>
              <w:tab w:val="right" w:pos="9360"/>
            </w:tabs>
            <w:spacing w:before="80" w:line="240" w:lineRule="auto"/>
            <w:ind w:left="0" w:firstLine="0"/>
            <w:rPr>
              <w:rFonts w:ascii="Arial" w:cs="Arial" w:eastAsia="Arial" w:hAnsi="Arial"/>
              <w:b w:val="1"/>
              <w:i w:val="0"/>
              <w:smallCaps w:val="0"/>
              <w:strike w:val="0"/>
              <w:color w:val="000000"/>
              <w:sz w:val="20"/>
              <w:szCs w:val="20"/>
              <w:u w:val="none"/>
              <w:shd w:fill="auto" w:val="clear"/>
              <w:vertAlign w:val="baseline"/>
            </w:rPr>
          </w:pPr>
          <w:r w:rsidDel="00000000" w:rsidR="00000000" w:rsidRPr="00000000">
            <w:fldChar w:fldCharType="begin"/>
            <w:instrText xml:space="preserve"> TOC \h \u \z </w:instrText>
            <w:fldChar w:fldCharType="separate"/>
          </w:r>
          <w:hyperlink w:anchor="_zb2bz8daaijw">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 Introduction</w:t>
            </w:r>
          </w:hyperlink>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_zb2bz8daaijw \h </w:instrText>
            <w:fldChar w:fldCharType="separate"/>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40">
          <w:pPr>
            <w:tabs>
              <w:tab w:val="right" w:pos="9360"/>
            </w:tabs>
            <w:spacing w:before="60" w:line="240" w:lineRule="auto"/>
            <w:ind w:left="360" w:firstLine="0"/>
            <w:rPr>
              <w:rFonts w:ascii="Arial" w:cs="Arial" w:eastAsia="Arial" w:hAnsi="Arial"/>
              <w:b w:val="0"/>
              <w:i w:val="0"/>
              <w:smallCaps w:val="0"/>
              <w:strike w:val="0"/>
              <w:color w:val="000000"/>
              <w:sz w:val="20"/>
              <w:szCs w:val="20"/>
              <w:u w:val="none"/>
              <w:shd w:fill="auto" w:val="clear"/>
              <w:vertAlign w:val="baseline"/>
            </w:rPr>
          </w:pPr>
          <w:hyperlink w:anchor="_vtbheh6dcxz9">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1.1 References (non-normative)</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_vtbheh6dcxz9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41">
          <w:pPr>
            <w:tabs>
              <w:tab w:val="right" w:pos="9360"/>
            </w:tabs>
            <w:spacing w:before="60" w:line="240" w:lineRule="auto"/>
            <w:ind w:left="360" w:firstLine="0"/>
            <w:rPr>
              <w:rFonts w:ascii="Arial" w:cs="Arial" w:eastAsia="Arial" w:hAnsi="Arial"/>
              <w:b w:val="0"/>
              <w:i w:val="0"/>
              <w:smallCaps w:val="0"/>
              <w:strike w:val="0"/>
              <w:color w:val="000000"/>
              <w:sz w:val="20"/>
              <w:szCs w:val="20"/>
              <w:u w:val="none"/>
              <w:shd w:fill="auto" w:val="clear"/>
              <w:vertAlign w:val="baseline"/>
            </w:rPr>
          </w:pPr>
          <w:hyperlink w:anchor="_7fkutwhnny3q">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1.2 IPR Policy</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_7fkutwhnny3q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42">
          <w:pPr>
            <w:tabs>
              <w:tab w:val="right" w:pos="9360"/>
            </w:tabs>
            <w:spacing w:before="60" w:line="240" w:lineRule="auto"/>
            <w:ind w:left="360" w:firstLine="0"/>
            <w:rPr>
              <w:rFonts w:ascii="Arial" w:cs="Arial" w:eastAsia="Arial" w:hAnsi="Arial"/>
              <w:b w:val="0"/>
              <w:i w:val="0"/>
              <w:smallCaps w:val="0"/>
              <w:strike w:val="0"/>
              <w:color w:val="000000"/>
              <w:sz w:val="20"/>
              <w:szCs w:val="20"/>
              <w:u w:val="none"/>
              <w:shd w:fill="auto" w:val="clear"/>
              <w:vertAlign w:val="baseline"/>
            </w:rPr>
          </w:pPr>
          <w:hyperlink w:anchor="_nxhzyjbykfja">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1.3 Terminology</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_nxhzyjbykfja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43">
          <w:pPr>
            <w:tabs>
              <w:tab w:val="right" w:pos="9360"/>
            </w:tabs>
            <w:spacing w:before="60" w:line="240" w:lineRule="auto"/>
            <w:ind w:left="360" w:firstLine="0"/>
            <w:rPr>
              <w:rFonts w:ascii="Arial" w:cs="Arial" w:eastAsia="Arial" w:hAnsi="Arial"/>
              <w:b w:val="0"/>
              <w:i w:val="0"/>
              <w:smallCaps w:val="0"/>
              <w:strike w:val="0"/>
              <w:color w:val="000000"/>
              <w:sz w:val="20"/>
              <w:szCs w:val="20"/>
              <w:u w:val="none"/>
              <w:shd w:fill="auto" w:val="clear"/>
              <w:vertAlign w:val="baseline"/>
            </w:rPr>
          </w:pPr>
          <w:hyperlink w:anchor="_bnt7yel77eli">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1.4 Overview</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_bnt7yel77eli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44">
          <w:pPr>
            <w:tabs>
              <w:tab w:val="right" w:pos="9360"/>
            </w:tabs>
            <w:spacing w:before="200" w:line="240" w:lineRule="auto"/>
            <w:ind w:left="0" w:firstLine="0"/>
            <w:rPr>
              <w:rFonts w:ascii="Arial" w:cs="Arial" w:eastAsia="Arial" w:hAnsi="Arial"/>
              <w:b w:val="1"/>
              <w:i w:val="0"/>
              <w:smallCaps w:val="0"/>
              <w:strike w:val="0"/>
              <w:color w:val="000000"/>
              <w:sz w:val="20"/>
              <w:szCs w:val="20"/>
              <w:u w:val="none"/>
              <w:shd w:fill="auto" w:val="clear"/>
              <w:vertAlign w:val="baseline"/>
            </w:rPr>
          </w:pPr>
          <w:hyperlink w:anchor="_gps3c0po3wnm">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2 Requirements</w:t>
            </w:r>
          </w:hyperlink>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_gps3c0po3wnm \h </w:instrText>
            <w:fldChar w:fldCharType="separate"/>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45">
          <w:pPr>
            <w:tabs>
              <w:tab w:val="right" w:pos="9360"/>
            </w:tabs>
            <w:spacing w:before="60" w:line="240" w:lineRule="auto"/>
            <w:ind w:left="360" w:firstLine="0"/>
            <w:rPr>
              <w:rFonts w:ascii="Arial" w:cs="Arial" w:eastAsia="Arial" w:hAnsi="Arial"/>
              <w:b w:val="0"/>
              <w:i w:val="0"/>
              <w:smallCaps w:val="0"/>
              <w:strike w:val="0"/>
              <w:color w:val="000000"/>
              <w:sz w:val="20"/>
              <w:szCs w:val="20"/>
              <w:u w:val="none"/>
              <w:shd w:fill="auto" w:val="clear"/>
              <w:vertAlign w:val="baseline"/>
            </w:rPr>
          </w:pPr>
          <w:hyperlink w:anchor="_1e4dmws1vu4c">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2.1 Development</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_1e4dmws1vu4c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46">
          <w:pPr>
            <w:tabs>
              <w:tab w:val="right" w:pos="9360"/>
            </w:tabs>
            <w:spacing w:before="60" w:line="240" w:lineRule="auto"/>
            <w:ind w:left="360" w:firstLine="0"/>
            <w:rPr>
              <w:rFonts w:ascii="Arial" w:cs="Arial" w:eastAsia="Arial" w:hAnsi="Arial"/>
              <w:b w:val="0"/>
              <w:i w:val="0"/>
              <w:smallCaps w:val="0"/>
              <w:strike w:val="0"/>
              <w:color w:val="000000"/>
              <w:sz w:val="20"/>
              <w:szCs w:val="20"/>
              <w:u w:val="none"/>
              <w:shd w:fill="auto" w:val="clear"/>
              <w:vertAlign w:val="baseline"/>
            </w:rPr>
          </w:pPr>
          <w:hyperlink w:anchor="_tf5e7jof2jpi">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2.2 Interoperability</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_tf5e7jof2jpi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47">
          <w:pPr>
            <w:tabs>
              <w:tab w:val="right" w:pos="9360"/>
            </w:tabs>
            <w:spacing w:before="60" w:line="240" w:lineRule="auto"/>
            <w:ind w:left="360" w:firstLine="0"/>
            <w:rPr>
              <w:rFonts w:ascii="Arial" w:cs="Arial" w:eastAsia="Arial" w:hAnsi="Arial"/>
              <w:b w:val="0"/>
              <w:i w:val="0"/>
              <w:smallCaps w:val="0"/>
              <w:strike w:val="0"/>
              <w:color w:val="000000"/>
              <w:sz w:val="20"/>
              <w:szCs w:val="20"/>
              <w:u w:val="none"/>
              <w:shd w:fill="auto" w:val="clear"/>
              <w:vertAlign w:val="baseline"/>
            </w:rPr>
          </w:pPr>
          <w:hyperlink w:anchor="_cj5fy5fwy5s5">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2.3 Actions</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_cj5fy5fwy5s5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48">
          <w:pPr>
            <w:tabs>
              <w:tab w:val="right" w:pos="9360"/>
            </w:tabs>
            <w:spacing w:before="60" w:line="240" w:lineRule="auto"/>
            <w:ind w:left="360" w:firstLine="0"/>
            <w:rPr>
              <w:rFonts w:ascii="Arial" w:cs="Arial" w:eastAsia="Arial" w:hAnsi="Arial"/>
              <w:b w:val="0"/>
              <w:i w:val="0"/>
              <w:smallCaps w:val="0"/>
              <w:strike w:val="0"/>
              <w:color w:val="000000"/>
              <w:sz w:val="20"/>
              <w:szCs w:val="20"/>
              <w:u w:val="none"/>
              <w:shd w:fill="auto" w:val="clear"/>
              <w:vertAlign w:val="baseline"/>
            </w:rPr>
          </w:pPr>
          <w:hyperlink w:anchor="_k0pgx6hzhzs2">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2.4 Control Logic</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_k0pgx6hzhzs2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49">
          <w:pPr>
            <w:tabs>
              <w:tab w:val="right" w:pos="9360"/>
            </w:tabs>
            <w:spacing w:before="60" w:line="240" w:lineRule="auto"/>
            <w:ind w:left="360" w:firstLine="0"/>
            <w:rPr>
              <w:rFonts w:ascii="Arial" w:cs="Arial" w:eastAsia="Arial" w:hAnsi="Arial"/>
              <w:b w:val="0"/>
              <w:i w:val="0"/>
              <w:smallCaps w:val="0"/>
              <w:strike w:val="0"/>
              <w:color w:val="000000"/>
              <w:sz w:val="20"/>
              <w:szCs w:val="20"/>
              <w:u w:val="none"/>
              <w:shd w:fill="auto" w:val="clear"/>
              <w:vertAlign w:val="baseline"/>
            </w:rPr>
          </w:pPr>
          <w:hyperlink w:anchor="_59uupzxta9s9">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2.5 Identifiers</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_59uupzxta9s9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4A">
          <w:pPr>
            <w:tabs>
              <w:tab w:val="right" w:pos="9360"/>
            </w:tabs>
            <w:spacing w:before="60" w:line="240" w:lineRule="auto"/>
            <w:ind w:left="360" w:firstLine="0"/>
            <w:rPr>
              <w:rFonts w:ascii="Arial" w:cs="Arial" w:eastAsia="Arial" w:hAnsi="Arial"/>
              <w:b w:val="0"/>
              <w:i w:val="0"/>
              <w:smallCaps w:val="0"/>
              <w:strike w:val="0"/>
              <w:color w:val="000000"/>
              <w:sz w:val="20"/>
              <w:szCs w:val="20"/>
              <w:u w:val="none"/>
              <w:shd w:fill="auto" w:val="clear"/>
              <w:vertAlign w:val="baseline"/>
            </w:rPr>
          </w:pPr>
          <w:hyperlink w:anchor="_4x84rneuuays">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2.6 Targeting</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_4x84rneuuays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4B">
          <w:pPr>
            <w:tabs>
              <w:tab w:val="right" w:pos="9360"/>
            </w:tabs>
            <w:spacing w:before="60" w:line="240" w:lineRule="auto"/>
            <w:ind w:left="360" w:firstLine="0"/>
            <w:rPr>
              <w:rFonts w:ascii="Arial" w:cs="Arial" w:eastAsia="Arial" w:hAnsi="Arial"/>
              <w:b w:val="0"/>
              <w:i w:val="0"/>
              <w:smallCaps w:val="0"/>
              <w:strike w:val="0"/>
              <w:color w:val="000000"/>
              <w:sz w:val="20"/>
              <w:szCs w:val="20"/>
              <w:u w:val="none"/>
              <w:shd w:fill="auto" w:val="clear"/>
              <w:vertAlign w:val="baseline"/>
            </w:rPr>
          </w:pPr>
          <w:hyperlink w:anchor="_hxtvplaevua5">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2.7 Testing</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_hxtvplaevua5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4C">
          <w:pPr>
            <w:tabs>
              <w:tab w:val="right" w:pos="9360"/>
            </w:tabs>
            <w:spacing w:before="60" w:line="240" w:lineRule="auto"/>
            <w:ind w:left="360" w:firstLine="0"/>
            <w:rPr>
              <w:rFonts w:ascii="Arial" w:cs="Arial" w:eastAsia="Arial" w:hAnsi="Arial"/>
              <w:b w:val="0"/>
              <w:i w:val="0"/>
              <w:smallCaps w:val="0"/>
              <w:strike w:val="0"/>
              <w:color w:val="000000"/>
              <w:sz w:val="20"/>
              <w:szCs w:val="20"/>
              <w:u w:val="none"/>
              <w:shd w:fill="auto" w:val="clear"/>
              <w:vertAlign w:val="baseline"/>
            </w:rPr>
          </w:pPr>
          <w:hyperlink w:anchor="_uz9ubacfcrfh">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2.8 Reporting</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_uz9ubacfcrfh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4D">
          <w:pPr>
            <w:tabs>
              <w:tab w:val="right" w:pos="9360"/>
            </w:tabs>
            <w:spacing w:before="60" w:line="240" w:lineRule="auto"/>
            <w:ind w:left="360" w:firstLine="0"/>
            <w:rPr>
              <w:rFonts w:ascii="Arial" w:cs="Arial" w:eastAsia="Arial" w:hAnsi="Arial"/>
              <w:b w:val="0"/>
              <w:i w:val="0"/>
              <w:smallCaps w:val="0"/>
              <w:strike w:val="0"/>
              <w:color w:val="000000"/>
              <w:sz w:val="20"/>
              <w:szCs w:val="20"/>
              <w:u w:val="none"/>
              <w:shd w:fill="auto" w:val="clear"/>
              <w:vertAlign w:val="baseline"/>
            </w:rPr>
          </w:pPr>
          <w:hyperlink w:anchor="_dxejz2654e5e">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2.9 Signatures</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_dxejz2654e5e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4E">
          <w:pPr>
            <w:tabs>
              <w:tab w:val="right" w:pos="9360"/>
            </w:tabs>
            <w:spacing w:before="60" w:line="240" w:lineRule="auto"/>
            <w:ind w:left="360" w:firstLine="0"/>
            <w:rPr>
              <w:rFonts w:ascii="Arial" w:cs="Arial" w:eastAsia="Arial" w:hAnsi="Arial"/>
              <w:b w:val="0"/>
              <w:i w:val="0"/>
              <w:smallCaps w:val="0"/>
              <w:strike w:val="0"/>
              <w:color w:val="000000"/>
              <w:sz w:val="20"/>
              <w:szCs w:val="20"/>
              <w:u w:val="none"/>
              <w:shd w:fill="auto" w:val="clear"/>
              <w:vertAlign w:val="baseline"/>
            </w:rPr>
          </w:pPr>
          <w:hyperlink w:anchor="_kjg6rnpr82h0">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2.10 Security</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_kjg6rnpr82h0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4F">
          <w:pPr>
            <w:tabs>
              <w:tab w:val="right" w:pos="9360"/>
            </w:tabs>
            <w:spacing w:before="60" w:line="240" w:lineRule="auto"/>
            <w:ind w:left="360" w:firstLine="0"/>
            <w:rPr>
              <w:rFonts w:ascii="Arial" w:cs="Arial" w:eastAsia="Arial" w:hAnsi="Arial"/>
              <w:b w:val="0"/>
              <w:i w:val="0"/>
              <w:smallCaps w:val="0"/>
              <w:strike w:val="0"/>
              <w:color w:val="000000"/>
              <w:sz w:val="20"/>
              <w:szCs w:val="20"/>
              <w:u w:val="none"/>
              <w:shd w:fill="auto" w:val="clear"/>
              <w:vertAlign w:val="baseline"/>
            </w:rPr>
          </w:pPr>
          <w:hyperlink w:anchor="_1r4azqr4q9qi">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2.11 Separation</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_1r4azqr4q9qi \h </w:instrText>
            <w:fldChar w:fldCharType="separate"/>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50">
          <w:pPr>
            <w:tabs>
              <w:tab w:val="right" w:pos="9360"/>
            </w:tabs>
            <w:spacing w:before="60" w:line="240" w:lineRule="auto"/>
            <w:ind w:left="360" w:firstLine="0"/>
            <w:rPr>
              <w:rFonts w:ascii="Arial" w:cs="Arial" w:eastAsia="Arial" w:hAnsi="Arial"/>
              <w:b w:val="0"/>
              <w:i w:val="0"/>
              <w:smallCaps w:val="0"/>
              <w:strike w:val="0"/>
              <w:color w:val="3b0070"/>
              <w:sz w:val="20"/>
              <w:szCs w:val="20"/>
              <w:u w:val="none"/>
              <w:shd w:fill="auto" w:val="clear"/>
              <w:vertAlign w:val="baseline"/>
            </w:rPr>
          </w:pPr>
          <w:hyperlink w:anchor="_ha1buc7l3snv">
            <w:r w:rsidDel="00000000" w:rsidR="00000000" w:rsidRPr="00000000">
              <w:rPr>
                <w:rFonts w:ascii="Arial" w:cs="Arial" w:eastAsia="Arial" w:hAnsi="Arial"/>
                <w:b w:val="0"/>
                <w:i w:val="0"/>
                <w:smallCaps w:val="0"/>
                <w:strike w:val="0"/>
                <w:color w:val="3b0070"/>
                <w:sz w:val="20"/>
                <w:szCs w:val="20"/>
                <w:u w:val="none"/>
                <w:shd w:fill="auto" w:val="clear"/>
                <w:vertAlign w:val="baseline"/>
                <w:rtl w:val="0"/>
              </w:rPr>
              <w:t xml:space="preserve">2.12 Marking</w:t>
            </w:r>
          </w:hyperlink>
          <w:r w:rsidDel="00000000" w:rsidR="00000000" w:rsidRPr="00000000">
            <w:rPr>
              <w:rFonts w:ascii="Arial" w:cs="Arial" w:eastAsia="Arial" w:hAnsi="Arial"/>
              <w:b w:val="0"/>
              <w:i w:val="0"/>
              <w:smallCaps w:val="0"/>
              <w:strike w:val="0"/>
              <w:color w:val="3b0070"/>
              <w:sz w:val="20"/>
              <w:szCs w:val="20"/>
              <w:u w:val="none"/>
              <w:shd w:fill="auto" w:val="clear"/>
              <w:vertAlign w:val="baseline"/>
              <w:rtl w:val="0"/>
            </w:rPr>
            <w:tab/>
          </w:r>
          <w:r w:rsidDel="00000000" w:rsidR="00000000" w:rsidRPr="00000000">
            <w:fldChar w:fldCharType="begin"/>
            <w:instrText xml:space="preserve"> PAGEREF _ha1buc7l3snv \h </w:instrText>
            <w:fldChar w:fldCharType="separate"/>
          </w:r>
          <w:r w:rsidDel="00000000" w:rsidR="00000000" w:rsidRPr="00000000">
            <w:rPr>
              <w:rFonts w:ascii="Arial" w:cs="Arial" w:eastAsia="Arial" w:hAnsi="Arial"/>
              <w:b w:val="0"/>
              <w:i w:val="0"/>
              <w:smallCaps w:val="0"/>
              <w:strike w:val="0"/>
              <w:color w:val="3b0070"/>
              <w:sz w:val="20"/>
              <w:szCs w:val="20"/>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51">
          <w:pPr>
            <w:tabs>
              <w:tab w:val="right" w:pos="9360"/>
            </w:tabs>
            <w:spacing w:before="200" w:line="240" w:lineRule="auto"/>
            <w:ind w:left="0" w:firstLine="0"/>
            <w:rPr>
              <w:rFonts w:ascii="Arial" w:cs="Arial" w:eastAsia="Arial" w:hAnsi="Arial"/>
              <w:b w:val="1"/>
              <w:i w:val="0"/>
              <w:smallCaps w:val="0"/>
              <w:strike w:val="0"/>
              <w:color w:val="000000"/>
              <w:sz w:val="20"/>
              <w:szCs w:val="20"/>
              <w:u w:val="none"/>
              <w:shd w:fill="auto" w:val="clear"/>
              <w:vertAlign w:val="baseline"/>
            </w:rPr>
          </w:pPr>
          <w:hyperlink w:anchor="_1ffboo5wjt8z">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Appendix A. Acknowledgments</w:t>
            </w:r>
          </w:hyperlink>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_1ffboo5wjt8z \h </w:instrText>
            <w:fldChar w:fldCharType="separate"/>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52">
          <w:pPr>
            <w:tabs>
              <w:tab w:val="right" w:pos="9360"/>
            </w:tabs>
            <w:spacing w:after="80" w:before="200" w:line="240" w:lineRule="auto"/>
            <w:ind w:left="0" w:firstLine="0"/>
            <w:rPr>
              <w:rFonts w:ascii="Arial" w:cs="Arial" w:eastAsia="Arial" w:hAnsi="Arial"/>
              <w:b w:val="1"/>
              <w:i w:val="0"/>
              <w:smallCaps w:val="0"/>
              <w:strike w:val="0"/>
              <w:color w:val="000000"/>
              <w:sz w:val="20"/>
              <w:szCs w:val="20"/>
              <w:u w:val="none"/>
              <w:shd w:fill="auto" w:val="clear"/>
              <w:vertAlign w:val="baseline"/>
            </w:rPr>
          </w:pPr>
          <w:hyperlink w:anchor="_hfy40z48wjpi">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Appendix B. Revision History</w:t>
            </w:r>
          </w:hyperlink>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_hfy40z48wjpi \h </w:instrText>
            <w:fldChar w:fldCharType="separate"/>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15</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pStyle w:val="Heading1"/>
        <w:rPr/>
      </w:pPr>
      <w:bookmarkStart w:colFirst="0" w:colLast="0" w:name="_ma62itooknit" w:id="12"/>
      <w:bookmarkEnd w:id="12"/>
      <w:r w:rsidDel="00000000" w:rsidR="00000000" w:rsidRPr="00000000">
        <w:br w:type="page"/>
      </w: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____________________________________________________________________________________</w:t>
      </w:r>
    </w:p>
    <w:p w:rsidR="00000000" w:rsidDel="00000000" w:rsidP="00000000" w:rsidRDefault="00000000" w:rsidRPr="00000000" w14:paraId="00000059">
      <w:pPr>
        <w:pStyle w:val="Heading1"/>
        <w:rPr/>
      </w:pPr>
      <w:bookmarkStart w:colFirst="0" w:colLast="0" w:name="_zb2bz8daaijw" w:id="13"/>
      <w:bookmarkEnd w:id="13"/>
      <w:r w:rsidDel="00000000" w:rsidR="00000000" w:rsidRPr="00000000">
        <w:rPr>
          <w:rtl w:val="0"/>
        </w:rPr>
        <w:t xml:space="preserve">1 </w:t>
      </w:r>
      <w:r w:rsidDel="00000000" w:rsidR="00000000" w:rsidRPr="00000000">
        <w:rPr>
          <w:rtl w:val="0"/>
        </w:rPr>
        <w:t xml:space="preserve">Introduction</w:t>
      </w:r>
    </w:p>
    <w:p w:rsidR="00000000" w:rsidDel="00000000" w:rsidP="00000000" w:rsidRDefault="00000000" w:rsidRPr="00000000" w14:paraId="0000005A">
      <w:pPr>
        <w:rPr/>
      </w:pPr>
      <w:r w:rsidDel="00000000" w:rsidR="00000000" w:rsidRPr="00000000">
        <w:rPr>
          <w:rtl w:val="0"/>
        </w:rPr>
        <w:t xml:space="preserve">To defend against threat actors and their tactics, techniques, and procedures, organizations need to identify, create, document and test investigative, preventive, mitigative, and remediative steps. These steps, when grouped together, form a cyber security playbook that can be used to protect organizational systems, networks, data, and users. </w:t>
      </w: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To enable organizations to respond to threats in cyber relevant time, security teams need to be able to automate the creation, sharing, parsing, and execution of cyber security playbooks. </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Each type of cyber security playbook, such as investigation, prevention, mitigation and remediation will consist of a sequence of actions that can be executed by the</w:t>
      </w:r>
      <w:r w:rsidDel="00000000" w:rsidR="00000000" w:rsidRPr="00000000">
        <w:rPr>
          <w:rtl w:val="0"/>
        </w:rPr>
        <w:t xml:space="preserve"> various technological solutions that can act on those actions whether those actions are executed by a machine, a human, or a combination of the two.</w:t>
      </w:r>
      <w:r w:rsidDel="00000000" w:rsidR="00000000" w:rsidRPr="00000000">
        <w:rPr>
          <w:rtl w:val="0"/>
        </w:rPr>
        <w:t xml:space="preserve"> These playbooks need to be referenceable by other shared cyber threat intelligence that provides support for related data such as threat actors, campaigns, intrusion sets, malware, attack patterns, and other adversarial tactics, techniques, and procedures.</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highlight w:val="white"/>
        </w:rPr>
      </w:pPr>
      <w:r w:rsidDel="00000000" w:rsidR="00000000" w:rsidRPr="00000000">
        <w:rPr>
          <w:rtl w:val="0"/>
        </w:rPr>
        <w:t xml:space="preserve">This document defines the core requirements for how cyber security playbooks can be created, documented, and shared in a structured and standardized way across organizational boundaries and technological solutions.</w:t>
      </w:r>
      <w:r w:rsidDel="00000000" w:rsidR="00000000" w:rsidRPr="00000000">
        <w:rPr>
          <w:rtl w:val="0"/>
        </w:rPr>
      </w:r>
    </w:p>
    <w:p w:rsidR="00000000" w:rsidDel="00000000" w:rsidP="00000000" w:rsidRDefault="00000000" w:rsidRPr="00000000" w14:paraId="00000061">
      <w:pPr>
        <w:pStyle w:val="Heading2"/>
        <w:rPr/>
      </w:pPr>
      <w:bookmarkStart w:colFirst="0" w:colLast="0" w:name="_vtbheh6dcxz9" w:id="14"/>
      <w:bookmarkEnd w:id="14"/>
      <w:r w:rsidDel="00000000" w:rsidR="00000000" w:rsidRPr="00000000">
        <w:rPr>
          <w:rtl w:val="0"/>
        </w:rPr>
        <w:t xml:space="preserve">1.1 References (non-normative)</w:t>
      </w:r>
    </w:p>
    <w:bookmarkStart w:colFirst="0" w:colLast="0" w:name="kix.onjm3t6qxyap" w:id="15"/>
    <w:bookmarkEnd w:id="15"/>
    <w:p w:rsidR="00000000" w:rsidDel="00000000" w:rsidP="00000000" w:rsidRDefault="00000000" w:rsidRPr="00000000" w14:paraId="00000062">
      <w:pPr>
        <w:spacing w:after="40" w:before="40" w:lineRule="auto"/>
        <w:ind w:left="1710"/>
        <w:rPr/>
      </w:pPr>
      <w:r w:rsidDel="00000000" w:rsidR="00000000" w:rsidRPr="00000000">
        <w:rPr>
          <w:b w:val="1"/>
          <w:rtl w:val="0"/>
        </w:rPr>
        <w:t xml:space="preserve">[RFC4122] </w:t>
      </w:r>
      <w:r w:rsidDel="00000000" w:rsidR="00000000" w:rsidRPr="00000000">
        <w:rPr>
          <w:rtl w:val="0"/>
        </w:rPr>
        <w:tab/>
        <w:t xml:space="preserve">Leach, P., Mealling, M., and R. Salz, "A Universally Unique IDentifier (UUID) URN Namespace", RFC 4122, DOI 10.17487/RFC4122, July 2005, </w:t>
      </w:r>
      <w:hyperlink r:id="rId25">
        <w:r w:rsidDel="00000000" w:rsidR="00000000" w:rsidRPr="00000000">
          <w:rPr>
            <w:color w:val="1155cc"/>
            <w:u w:val="single"/>
            <w:rtl w:val="0"/>
          </w:rPr>
          <w:t xml:space="preserve">http://www.rfc-editor.org/info/rfc4122</w:t>
        </w:r>
      </w:hyperlink>
      <w:r w:rsidDel="00000000" w:rsidR="00000000" w:rsidRPr="00000000">
        <w:rPr>
          <w:rtl w:val="0"/>
        </w:rPr>
        <w:t xml:space="preserve">.</w:t>
      </w:r>
    </w:p>
    <w:p w:rsidR="00000000" w:rsidDel="00000000" w:rsidP="00000000" w:rsidRDefault="00000000" w:rsidRPr="00000000" w14:paraId="00000063">
      <w:pPr>
        <w:spacing w:after="40" w:before="40" w:lineRule="auto"/>
        <w:ind w:left="1710"/>
        <w:rPr/>
      </w:pPr>
      <w:r w:rsidDel="00000000" w:rsidR="00000000" w:rsidRPr="00000000">
        <w:rPr>
          <w:rtl w:val="0"/>
        </w:rPr>
      </w:r>
    </w:p>
    <w:p w:rsidR="00000000" w:rsidDel="00000000" w:rsidP="00000000" w:rsidRDefault="00000000" w:rsidRPr="00000000" w14:paraId="00000064">
      <w:pPr>
        <w:pStyle w:val="Heading2"/>
        <w:rPr/>
      </w:pPr>
      <w:bookmarkStart w:colFirst="0" w:colLast="0" w:name="_7fkutwhnny3q" w:id="16"/>
      <w:bookmarkEnd w:id="16"/>
      <w:r w:rsidDel="00000000" w:rsidR="00000000" w:rsidRPr="00000000">
        <w:rPr>
          <w:rtl w:val="0"/>
        </w:rPr>
        <w:t xml:space="preserve">1.2 IPR Policy</w:t>
      </w:r>
    </w:p>
    <w:p w:rsidR="00000000" w:rsidDel="00000000" w:rsidP="00000000" w:rsidRDefault="00000000" w:rsidRPr="00000000" w14:paraId="00000065">
      <w:pPr>
        <w:rPr>
          <w:highlight w:val="white"/>
        </w:rPr>
      </w:pPr>
      <w:r w:rsidDel="00000000" w:rsidR="00000000" w:rsidRPr="00000000">
        <w:rPr>
          <w:highlight w:val="white"/>
          <w:rtl w:val="0"/>
        </w:rPr>
        <w:t xml:space="preserve">This document is provided under the [Non-Assertion](</w:t>
      </w:r>
      <w:hyperlink r:id="rId26">
        <w:r w:rsidDel="00000000" w:rsidR="00000000" w:rsidRPr="00000000">
          <w:rPr>
            <w:color w:val="1155cc"/>
            <w:highlight w:val="white"/>
            <w:u w:val="single"/>
            <w:rtl w:val="0"/>
          </w:rPr>
          <w:t xml:space="preserve">https://www.oasis-open.org/policies-guidelines/ipr#Non-Assertion-Mode</w:t>
        </w:r>
      </w:hyperlink>
      <w:r w:rsidDel="00000000" w:rsidR="00000000" w:rsidRPr="00000000">
        <w:rPr>
          <w:highlight w:val="white"/>
          <w:rtl w:val="0"/>
        </w:rPr>
        <w:t xml:space="preserve">) Mode of the [OASIS IPR Policy](</w:t>
      </w:r>
      <w:hyperlink r:id="rId27">
        <w:r w:rsidDel="00000000" w:rsidR="00000000" w:rsidRPr="00000000">
          <w:rPr>
            <w:color w:val="1155cc"/>
            <w:highlight w:val="white"/>
            <w:u w:val="single"/>
            <w:rtl w:val="0"/>
          </w:rPr>
          <w:t xml:space="preserve">https://www.oasis-open.org/policies-guidelines/ipr</w:t>
        </w:r>
      </w:hyperlink>
      <w:r w:rsidDel="00000000" w:rsidR="00000000" w:rsidRPr="00000000">
        <w:rPr>
          <w:highlight w:val="white"/>
          <w:rtl w:val="0"/>
        </w:rPr>
        <w:t xml:space="preserve">), the mode chosen when the Technical Committee was established. For information on whether any patents have been disclosed that may be essential to implementing this specification, and any offers of patent licensing terms, please refer to the Intellectual Property Rights section of the TC’s web page (</w:t>
      </w:r>
      <w:hyperlink r:id="rId28">
        <w:r w:rsidDel="00000000" w:rsidR="00000000" w:rsidRPr="00000000">
          <w:rPr>
            <w:color w:val="1155cc"/>
            <w:highlight w:val="white"/>
            <w:u w:val="single"/>
            <w:rtl w:val="0"/>
          </w:rPr>
          <w:t xml:space="preserve">https://www.oasis-open.org/committees/cti/ipr.php</w:t>
        </w:r>
      </w:hyperlink>
      <w:r w:rsidDel="00000000" w:rsidR="00000000" w:rsidRPr="00000000">
        <w:rPr>
          <w:highlight w:val="white"/>
          <w:rtl w:val="0"/>
        </w:rPr>
        <w:t xml:space="preserve">).</w:t>
      </w:r>
    </w:p>
    <w:p w:rsidR="00000000" w:rsidDel="00000000" w:rsidP="00000000" w:rsidRDefault="00000000" w:rsidRPr="00000000" w14:paraId="00000066">
      <w:pPr>
        <w:rPr>
          <w:highlight w:val="white"/>
        </w:rPr>
      </w:pPr>
      <w:r w:rsidDel="00000000" w:rsidR="00000000" w:rsidRPr="00000000">
        <w:rPr>
          <w:rtl w:val="0"/>
        </w:rPr>
      </w:r>
    </w:p>
    <w:p w:rsidR="00000000" w:rsidDel="00000000" w:rsidP="00000000" w:rsidRDefault="00000000" w:rsidRPr="00000000" w14:paraId="00000067">
      <w:pPr>
        <w:pStyle w:val="Heading2"/>
        <w:rPr/>
      </w:pPr>
      <w:bookmarkStart w:colFirst="0" w:colLast="0" w:name="_nxhzyjbykfja" w:id="17"/>
      <w:bookmarkEnd w:id="17"/>
      <w:r w:rsidDel="00000000" w:rsidR="00000000" w:rsidRPr="00000000">
        <w:rPr>
          <w:rtl w:val="0"/>
        </w:rPr>
        <w:t xml:space="preserve">1.3 </w:t>
      </w:r>
      <w:r w:rsidDel="00000000" w:rsidR="00000000" w:rsidRPr="00000000">
        <w:rPr>
          <w:rtl w:val="0"/>
        </w:rPr>
        <w:t xml:space="preserve">Terminology</w:t>
      </w:r>
    </w:p>
    <w:p w:rsidR="00000000" w:rsidDel="00000000" w:rsidP="00000000" w:rsidRDefault="00000000" w:rsidRPr="00000000" w14:paraId="00000068">
      <w:pPr>
        <w:rPr/>
      </w:pPr>
      <w:r w:rsidDel="00000000" w:rsidR="00000000" w:rsidRPr="00000000">
        <w:rPr>
          <w:b w:val="1"/>
          <w:rtl w:val="0"/>
        </w:rPr>
        <w:t xml:space="preserve">Investigative Action</w:t>
      </w:r>
      <w:r w:rsidDel="00000000" w:rsidR="00000000" w:rsidRPr="00000000">
        <w:rPr>
          <w:rtl w:val="0"/>
        </w:rPr>
        <w:t xml:space="preserve"> - This is an action that is used to gather information relevant to the construction or modification of cyber security playbooks. This includes gathering of information about a possible incident, problem, attack, or compromise. In some cases, an investigative action could require changes to the systems, networks or application behaviors in order to facilitate a deeper understanding of the investigation and resultant potential response.</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b w:val="1"/>
          <w:rtl w:val="0"/>
        </w:rPr>
        <w:t xml:space="preserve">Mitigative Action</w:t>
      </w:r>
      <w:r w:rsidDel="00000000" w:rsidR="00000000" w:rsidRPr="00000000">
        <w:rPr>
          <w:rtl w:val="0"/>
        </w:rPr>
        <w:t xml:space="preserve"> - This is an action that is used to respond to problems that can occur from an incident, problem, attack, or compromise. This is often done when a remediative action is not currently possible. For example, when a system patch is not yet available, one might deploy compensating controls such as moving the system into a sandbox virtual lan (vlan) or deploying more stringent firewall rules. </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b w:val="1"/>
          <w:rtl w:val="0"/>
        </w:rPr>
        <w:t xml:space="preserve">Remediative Action</w:t>
      </w:r>
      <w:r w:rsidDel="00000000" w:rsidR="00000000" w:rsidRPr="00000000">
        <w:rPr>
          <w:rtl w:val="0"/>
        </w:rPr>
        <w:t xml:space="preserve"> - This is an action that is often used with a goal of eradicating an issue, problem, attack, or compromise on one or more systems that have been determined to be compromised or involved in the particular event.</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b w:val="1"/>
          <w:rtl w:val="0"/>
        </w:rPr>
        <w:t xml:space="preserve">Preventative Action</w:t>
      </w:r>
      <w:r w:rsidDel="00000000" w:rsidR="00000000" w:rsidRPr="00000000">
        <w:rPr>
          <w:rtl w:val="0"/>
        </w:rPr>
        <w:t xml:space="preserve"> - This is an action that is used to help ensure that an issue, problem, attack, or compromise does not happen in the first place. In some cases, preventative actions may overlap with certain mitigative and remediation actions.</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b w:val="1"/>
          <w:rtl w:val="0"/>
        </w:rPr>
        <w:t xml:space="preserve">Playbook</w:t>
      </w:r>
      <w:r w:rsidDel="00000000" w:rsidR="00000000" w:rsidRPr="00000000">
        <w:rPr>
          <w:rtl w:val="0"/>
        </w:rPr>
        <w:t xml:space="preserve"> - This is a collection of one or more actions that defines a behavior and provides guidance on how to address a certain incident, problem, attack, or compromise. A playbook may be triggered by some automated or manual event or observation. A playbook may contain automated and manual actions.A playbook may be defined in one system by one or more authors but the playbook may be executed in an operational environment where the systems and users of those systems have different authentication and authorizations. A playbook may also reference or include other playbooks in such a manner that allows composition from smaller, more specific function playbooks similar to how software application development leverages modular libraries of common functions shared across different applications.</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b w:val="1"/>
          <w:rtl w:val="0"/>
        </w:rPr>
        <w:t xml:space="preserve">Action</w:t>
      </w:r>
      <w:r w:rsidDel="00000000" w:rsidR="00000000" w:rsidRPr="00000000">
        <w:rPr>
          <w:rtl w:val="0"/>
        </w:rPr>
        <w:t xml:space="preserve"> - This provides detailed information about a specific step or command that is either executed manually or automatically. The individual actions may be defined in other specifications, and when possible will be mapped to the JSON structure of this specification. When that is not possible, they will be base64 encoded.</w:t>
      </w:r>
    </w:p>
    <w:p w:rsidR="00000000" w:rsidDel="00000000" w:rsidP="00000000" w:rsidRDefault="00000000" w:rsidRPr="00000000" w14:paraId="00000073">
      <w:pPr>
        <w:pStyle w:val="Heading2"/>
        <w:rPr/>
      </w:pPr>
      <w:bookmarkStart w:colFirst="0" w:colLast="0" w:name="_bnt7yel77eli" w:id="18"/>
      <w:bookmarkEnd w:id="18"/>
      <w:r w:rsidDel="00000000" w:rsidR="00000000" w:rsidRPr="00000000">
        <w:rPr>
          <w:rtl w:val="0"/>
        </w:rPr>
        <w:t xml:space="preserve">1.4 Overview </w:t>
      </w:r>
    </w:p>
    <w:p w:rsidR="00000000" w:rsidDel="00000000" w:rsidP="00000000" w:rsidRDefault="00000000" w:rsidRPr="00000000" w14:paraId="00000074">
      <w:pPr>
        <w:rPr/>
      </w:pPr>
      <w:r w:rsidDel="00000000" w:rsidR="00000000" w:rsidRPr="00000000">
        <w:rPr>
          <w:rtl w:val="0"/>
        </w:rPr>
        <w:t xml:space="preserve">The requirements for cyber security playbooks naturally fall into several Playbook Information Domains (PID) as depicted in Figure 1 (below). Requirements in each PID are listed in the indicated section of this requirement document.</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drawing>
          <wp:inline distB="114300" distT="114300" distL="114300" distR="114300">
            <wp:extent cx="5943600" cy="3111500"/>
            <wp:effectExtent b="0" l="0" r="0" t="0"/>
            <wp:docPr id="1" name="image1.jpg"/>
            <a:graphic>
              <a:graphicData uri="http://schemas.openxmlformats.org/drawingml/2006/picture">
                <pic:pic>
                  <pic:nvPicPr>
                    <pic:cNvPr id="0" name="image1.jpg"/>
                    <pic:cNvPicPr preferRelativeResize="0"/>
                  </pic:nvPicPr>
                  <pic:blipFill>
                    <a:blip r:embed="rId29"/>
                    <a:srcRect b="0" l="0" r="0" t="0"/>
                    <a:stretch>
                      <a:fillRect/>
                    </a:stretch>
                  </pic:blipFill>
                  <pic:spPr>
                    <a:xfrm>
                      <a:off x="0" y="0"/>
                      <a:ext cx="5943600" cy="3111500"/>
                    </a:xfrm>
                    <a:prstGeom prst="rect"/>
                    <a:ln/>
                  </pic:spPr>
                </pic:pic>
              </a:graphicData>
            </a:graphic>
          </wp:inline>
        </w:drawing>
      </w:r>
      <w:r w:rsidDel="00000000" w:rsidR="00000000" w:rsidRPr="00000000">
        <w:rPr>
          <w:rtl w:val="0"/>
        </w:rPr>
      </w:r>
    </w:p>
    <w:p w:rsidR="00000000" w:rsidDel="00000000" w:rsidP="00000000" w:rsidRDefault="00000000" w:rsidRPr="00000000" w14:paraId="00000077">
      <w:pPr>
        <w:jc w:val="center"/>
        <w:rPr/>
      </w:pPr>
      <w:r w:rsidDel="00000000" w:rsidR="00000000" w:rsidRPr="00000000">
        <w:rPr>
          <w:rtl w:val="0"/>
        </w:rPr>
        <w:t xml:space="preserve">Figure 1 - Playbook Requirements Domains</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b w:val="1"/>
        </w:rPr>
      </w:pPr>
      <w:r w:rsidDel="00000000" w:rsidR="00000000" w:rsidRPr="00000000">
        <w:rPr>
          <w:b w:val="1"/>
          <w:rtl w:val="0"/>
        </w:rPr>
        <w:t xml:space="preserve">Playbook Development Process (PID.Dev) Requirements </w:t>
      </w:r>
    </w:p>
    <w:p w:rsidR="00000000" w:rsidDel="00000000" w:rsidP="00000000" w:rsidRDefault="00000000" w:rsidRPr="00000000" w14:paraId="0000007A">
      <w:pPr>
        <w:numPr>
          <w:ilvl w:val="0"/>
          <w:numId w:val="1"/>
        </w:numPr>
        <w:ind w:left="720" w:hanging="360"/>
      </w:pPr>
      <w:r w:rsidDel="00000000" w:rsidR="00000000" w:rsidRPr="00000000">
        <w:rPr>
          <w:rtl w:val="0"/>
        </w:rPr>
        <w:t xml:space="preserve">Provides guidance on the playbook development/testing process such as: acceptable development practices and verification/validation testing necessary for acceptance of new playbooks.</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b w:val="1"/>
        </w:rPr>
      </w:pPr>
      <w:r w:rsidDel="00000000" w:rsidR="00000000" w:rsidRPr="00000000">
        <w:rPr>
          <w:b w:val="1"/>
          <w:rtl w:val="0"/>
        </w:rPr>
        <w:t xml:space="preserve">Playbook Deployment Process (PID.Dep) Requirements</w:t>
      </w:r>
    </w:p>
    <w:p w:rsidR="00000000" w:rsidDel="00000000" w:rsidP="00000000" w:rsidRDefault="00000000" w:rsidRPr="00000000" w14:paraId="0000007D">
      <w:pPr>
        <w:numPr>
          <w:ilvl w:val="0"/>
          <w:numId w:val="1"/>
        </w:numPr>
        <w:ind w:left="720" w:hanging="360"/>
      </w:pPr>
      <w:r w:rsidDel="00000000" w:rsidR="00000000" w:rsidRPr="00000000">
        <w:rPr>
          <w:rtl w:val="0"/>
        </w:rPr>
        <w:t xml:space="preserve">Provides guidance on how to make a playbook available to the community where each community have their own defined requirements for acceptance of intelligence including playbooks.</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b w:val="1"/>
        </w:rPr>
      </w:pPr>
      <w:r w:rsidDel="00000000" w:rsidR="00000000" w:rsidRPr="00000000">
        <w:rPr>
          <w:b w:val="1"/>
          <w:rtl w:val="0"/>
        </w:rPr>
        <w:t xml:space="preserve">Playbook Structure (PID.Struct) Requirements </w:t>
      </w:r>
    </w:p>
    <w:p w:rsidR="00000000" w:rsidDel="00000000" w:rsidP="00000000" w:rsidRDefault="00000000" w:rsidRPr="00000000" w14:paraId="00000080">
      <w:pPr>
        <w:numPr>
          <w:ilvl w:val="0"/>
          <w:numId w:val="2"/>
        </w:numPr>
        <w:ind w:left="720" w:hanging="360"/>
      </w:pPr>
      <w:r w:rsidDel="00000000" w:rsidR="00000000" w:rsidRPr="00000000">
        <w:rPr>
          <w:rtl w:val="0"/>
        </w:rPr>
        <w:t xml:space="preserve">Defines the overarching structure of a playbook including mandatory/optional sections and overarching structure and formatting.</w:t>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b w:val="1"/>
        </w:rPr>
      </w:pPr>
      <w:r w:rsidDel="00000000" w:rsidR="00000000" w:rsidRPr="00000000">
        <w:rPr>
          <w:b w:val="1"/>
          <w:rtl w:val="0"/>
        </w:rPr>
        <w:t xml:space="preserve">Playbook Metadata (PID.Meta) Requirements </w:t>
      </w:r>
    </w:p>
    <w:p w:rsidR="00000000" w:rsidDel="00000000" w:rsidP="00000000" w:rsidRDefault="00000000" w:rsidRPr="00000000" w14:paraId="00000083">
      <w:pPr>
        <w:numPr>
          <w:ilvl w:val="0"/>
          <w:numId w:val="5"/>
        </w:numPr>
        <w:ind w:left="720" w:hanging="360"/>
      </w:pPr>
      <w:r w:rsidDel="00000000" w:rsidR="00000000" w:rsidRPr="00000000">
        <w:rPr>
          <w:rtl w:val="0"/>
        </w:rPr>
        <w:t xml:space="preserve">Defines the mandatory/optional data that goes with each playbook instance.</w:t>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b w:val="1"/>
        </w:rPr>
      </w:pPr>
      <w:r w:rsidDel="00000000" w:rsidR="00000000" w:rsidRPr="00000000">
        <w:rPr>
          <w:b w:val="1"/>
          <w:rtl w:val="0"/>
        </w:rPr>
        <w:t xml:space="preserve">Action Model (PID.ActModel) Requirements </w:t>
      </w:r>
    </w:p>
    <w:p w:rsidR="00000000" w:rsidDel="00000000" w:rsidP="00000000" w:rsidRDefault="00000000" w:rsidRPr="00000000" w14:paraId="00000086">
      <w:pPr>
        <w:numPr>
          <w:ilvl w:val="0"/>
          <w:numId w:val="6"/>
        </w:numPr>
        <w:ind w:left="720" w:hanging="360"/>
      </w:pPr>
      <w:r w:rsidDel="00000000" w:rsidR="00000000" w:rsidRPr="00000000">
        <w:rPr>
          <w:rtl w:val="0"/>
        </w:rPr>
        <w:t xml:space="preserve">Defines the flow of actions within a playbook including the sequence, control flow and logic, temporal requirements, flow decisions, and alternate paths.</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b w:val="1"/>
        </w:rPr>
      </w:pPr>
      <w:r w:rsidDel="00000000" w:rsidR="00000000" w:rsidRPr="00000000">
        <w:rPr>
          <w:b w:val="1"/>
          <w:rtl w:val="0"/>
        </w:rPr>
        <w:t xml:space="preserve">Action Detail (PID.ActDetail) Requirements </w:t>
      </w:r>
    </w:p>
    <w:p w:rsidR="00000000" w:rsidDel="00000000" w:rsidP="00000000" w:rsidRDefault="00000000" w:rsidRPr="00000000" w14:paraId="00000089">
      <w:pPr>
        <w:numPr>
          <w:ilvl w:val="0"/>
          <w:numId w:val="4"/>
        </w:numPr>
        <w:ind w:left="720" w:hanging="360"/>
      </w:pPr>
      <w:r w:rsidDel="00000000" w:rsidR="00000000" w:rsidRPr="00000000">
        <w:rPr>
          <w:rtl w:val="0"/>
        </w:rPr>
        <w:t xml:space="preserve">Defines the mandatory/optional data that goes with each action in the playbook. Note that each unique action is defined only once, even though the action may be referenced multiple times in the action model.</w:t>
      </w:r>
      <w:r w:rsidDel="00000000" w:rsidR="00000000" w:rsidRPr="00000000">
        <w:rPr>
          <w:rtl w:val="0"/>
        </w:rPr>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br w:type="page"/>
      </w:r>
      <w:r w:rsidDel="00000000" w:rsidR="00000000" w:rsidRPr="00000000">
        <w:rPr>
          <w:rtl w:val="0"/>
        </w:rPr>
      </w:r>
    </w:p>
    <w:p w:rsidR="00000000" w:rsidDel="00000000" w:rsidP="00000000" w:rsidRDefault="00000000" w:rsidRPr="00000000" w14:paraId="0000008C">
      <w:pPr>
        <w:rPr/>
      </w:pPr>
      <w:r w:rsidDel="00000000" w:rsidR="00000000" w:rsidRPr="00000000">
        <w:rPr>
          <w:rtl w:val="0"/>
        </w:rPr>
        <w:t xml:space="preserve">____________________________________________________________________________________</w:t>
      </w:r>
    </w:p>
    <w:p w:rsidR="00000000" w:rsidDel="00000000" w:rsidP="00000000" w:rsidRDefault="00000000" w:rsidRPr="00000000" w14:paraId="0000008D">
      <w:pPr>
        <w:pStyle w:val="Heading1"/>
        <w:rPr/>
      </w:pPr>
      <w:bookmarkStart w:colFirst="0" w:colLast="0" w:name="_gps3c0po3wnm" w:id="19"/>
      <w:bookmarkEnd w:id="19"/>
      <w:r w:rsidDel="00000000" w:rsidR="00000000" w:rsidRPr="00000000">
        <w:rPr>
          <w:rtl w:val="0"/>
        </w:rPr>
        <w:t xml:space="preserve">2 Requirements</w:t>
      </w:r>
    </w:p>
    <w:p w:rsidR="00000000" w:rsidDel="00000000" w:rsidP="00000000" w:rsidRDefault="00000000" w:rsidRPr="00000000" w14:paraId="0000008E">
      <w:pPr>
        <w:rPr/>
      </w:pPr>
      <w:r w:rsidDel="00000000" w:rsidR="00000000" w:rsidRPr="00000000">
        <w:rPr>
          <w:rtl w:val="0"/>
        </w:rPr>
        <w:t xml:space="preserve">The following section defines the core requirements that are needed to support the creation, sharing, and deployment of cyber security playbooks.</w:t>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pStyle w:val="Heading2"/>
        <w:rPr/>
      </w:pPr>
      <w:bookmarkStart w:colFirst="0" w:colLast="0" w:name="_1e4dmws1vu4c" w:id="20"/>
      <w:bookmarkEnd w:id="20"/>
      <w:r w:rsidDel="00000000" w:rsidR="00000000" w:rsidRPr="00000000">
        <w:rPr>
          <w:rtl w:val="0"/>
        </w:rPr>
        <w:t xml:space="preserve">2.1 Development</w:t>
      </w:r>
    </w:p>
    <w:tbl>
      <w:tblPr>
        <w:tblStyle w:val="Table1"/>
        <w:tblW w:w="9356.007393715343"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36.007393715342"/>
        <w:gridCol w:w="5970"/>
        <w:gridCol w:w="1950"/>
        <w:tblGridChange w:id="0">
          <w:tblGrid>
            <w:gridCol w:w="1436.007393715342"/>
            <w:gridCol w:w="5970"/>
            <w:gridCol w:w="1950"/>
          </w:tblGrid>
        </w:tblGridChange>
      </w:tblGrid>
      <w:tr>
        <w:tc>
          <w:tcPr>
            <w:shd w:fill="c9daf8" w:val="clear"/>
            <w:tcMar>
              <w:top w:w="100.0" w:type="dxa"/>
              <w:left w:w="100.0" w:type="dxa"/>
              <w:bottom w:w="100.0" w:type="dxa"/>
              <w:right w:w="100.0" w:type="dxa"/>
            </w:tcMar>
            <w:vAlign w:val="top"/>
          </w:tcPr>
          <w:p w:rsidR="00000000" w:rsidDel="00000000" w:rsidP="00000000" w:rsidRDefault="00000000" w:rsidRPr="00000000" w14:paraId="00000091">
            <w:pPr>
              <w:widowControl w:val="0"/>
              <w:spacing w:line="240" w:lineRule="auto"/>
              <w:jc w:val="center"/>
              <w:rPr>
                <w:b w:val="1"/>
              </w:rPr>
            </w:pPr>
            <w:r w:rsidDel="00000000" w:rsidR="00000000" w:rsidRPr="00000000">
              <w:rPr>
                <w:b w:val="1"/>
                <w:rtl w:val="0"/>
              </w:rPr>
              <w:t xml:space="preserve">Requirement</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92">
            <w:pPr>
              <w:widowControl w:val="0"/>
              <w:spacing w:line="240" w:lineRule="auto"/>
              <w:jc w:val="center"/>
              <w:rPr>
                <w:b w:val="1"/>
              </w:rPr>
            </w:pPr>
            <w:r w:rsidDel="00000000" w:rsidR="00000000" w:rsidRPr="00000000">
              <w:rPr>
                <w:b w:val="1"/>
                <w:rtl w:val="0"/>
              </w:rPr>
              <w:t xml:space="preserve">Details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93">
            <w:pPr>
              <w:widowControl w:val="0"/>
              <w:spacing w:line="240" w:lineRule="auto"/>
              <w:jc w:val="center"/>
              <w:rPr>
                <w:b w:val="1"/>
              </w:rPr>
            </w:pPr>
            <w:r w:rsidDel="00000000" w:rsidR="00000000" w:rsidRPr="00000000">
              <w:rPr>
                <w:b w:val="1"/>
                <w:rtl w:val="0"/>
              </w:rPr>
              <w:t xml:space="preserve">PID</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4">
            <w:pPr>
              <w:widowControl w:val="0"/>
              <w:spacing w:line="240" w:lineRule="auto"/>
              <w:jc w:val="center"/>
              <w:rPr/>
            </w:pPr>
            <w:r w:rsidDel="00000000" w:rsidR="00000000" w:rsidRPr="00000000">
              <w:rPr>
                <w:rtl w:val="0"/>
              </w:rPr>
              <w:t xml:space="preserve">DEV.1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Release In Phases</w:t>
            </w:r>
          </w:p>
          <w:p w:rsidR="00000000" w:rsidDel="00000000" w:rsidP="00000000" w:rsidRDefault="00000000" w:rsidRPr="00000000" w14:paraId="00000096">
            <w:pPr>
              <w:ind w:left="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Break the </w:t>
            </w:r>
            <w:r w:rsidDel="00000000" w:rsidR="00000000" w:rsidRPr="00000000">
              <w:rPr>
                <w:rtl w:val="0"/>
              </w:rPr>
              <w:t xml:space="preserve">CACAO</w:t>
            </w:r>
            <w:r w:rsidDel="00000000" w:rsidR="00000000" w:rsidRPr="00000000">
              <w:rPr>
                <w:rFonts w:ascii="Calibri" w:cs="Calibri" w:eastAsia="Calibri" w:hAnsi="Calibri"/>
                <w:sz w:val="22"/>
                <w:szCs w:val="22"/>
                <w:rtl w:val="0"/>
              </w:rPr>
              <w:t xml:space="preserve"> playbook work into release phases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PID.Dev</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line="240" w:lineRule="auto"/>
              <w:jc w:val="center"/>
              <w:rPr/>
            </w:pPr>
            <w:r w:rsidDel="00000000" w:rsidR="00000000" w:rsidRPr="00000000">
              <w:rPr>
                <w:rtl w:val="0"/>
              </w:rPr>
              <w:t xml:space="preserve">DEV.2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Minimally Viable Product (MVP)</w:t>
            </w:r>
          </w:p>
          <w:p w:rsidR="00000000" w:rsidDel="00000000" w:rsidP="00000000" w:rsidRDefault="00000000" w:rsidRPr="00000000" w14:paraId="0000009A">
            <w:pPr>
              <w:ind w:left="0" w:firstLine="0"/>
              <w:rPr/>
            </w:pPr>
            <w:r w:rsidDel="00000000" w:rsidR="00000000" w:rsidRPr="00000000">
              <w:rPr>
                <w:rFonts w:ascii="Calibri" w:cs="Calibri" w:eastAsia="Calibri" w:hAnsi="Calibri"/>
                <w:sz w:val="22"/>
                <w:szCs w:val="22"/>
                <w:rtl w:val="0"/>
              </w:rPr>
              <w:t xml:space="preserve">Try to get "minimally viable product" out sooner rather than later (i.e., do not wait until a full and "complete" standard done, which will take much more time.)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PID.All</w:t>
            </w:r>
          </w:p>
        </w:tc>
      </w:tr>
    </w:tbl>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pStyle w:val="Heading2"/>
        <w:rPr/>
      </w:pPr>
      <w:bookmarkStart w:colFirst="0" w:colLast="0" w:name="_tf5e7jof2jpi" w:id="21"/>
      <w:bookmarkEnd w:id="21"/>
      <w:r w:rsidDel="00000000" w:rsidR="00000000" w:rsidRPr="00000000">
        <w:rPr>
          <w:rtl w:val="0"/>
        </w:rPr>
        <w:t xml:space="preserve">2.2 Interoperability</w:t>
      </w:r>
    </w:p>
    <w:tbl>
      <w:tblPr>
        <w:tblStyle w:val="Table2"/>
        <w:tblW w:w="9356.007393715343"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36.007393715342"/>
        <w:gridCol w:w="5940"/>
        <w:gridCol w:w="1980"/>
        <w:tblGridChange w:id="0">
          <w:tblGrid>
            <w:gridCol w:w="1436.007393715342"/>
            <w:gridCol w:w="5940"/>
            <w:gridCol w:w="1980"/>
          </w:tblGrid>
        </w:tblGridChange>
      </w:tblGrid>
      <w:tr>
        <w:tc>
          <w:tcPr>
            <w:shd w:fill="c9daf8" w:val="clear"/>
            <w:tcMar>
              <w:top w:w="100.0" w:type="dxa"/>
              <w:left w:w="100.0" w:type="dxa"/>
              <w:bottom w:w="100.0" w:type="dxa"/>
              <w:right w:w="100.0" w:type="dxa"/>
            </w:tcMar>
            <w:vAlign w:val="top"/>
          </w:tcPr>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Requirement</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Details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A0">
            <w:pPr>
              <w:widowControl w:val="0"/>
              <w:spacing w:line="240" w:lineRule="auto"/>
              <w:jc w:val="center"/>
              <w:rPr>
                <w:b w:val="1"/>
              </w:rPr>
            </w:pPr>
            <w:r w:rsidDel="00000000" w:rsidR="00000000" w:rsidRPr="00000000">
              <w:rPr>
                <w:b w:val="1"/>
                <w:rtl w:val="0"/>
              </w:rPr>
              <w:t xml:space="preserve">PID</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INTEROP.1</w:t>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rPr>
                <w:b w:val="1"/>
              </w:rPr>
            </w:pPr>
            <w:r w:rsidDel="00000000" w:rsidR="00000000" w:rsidRPr="00000000">
              <w:rPr>
                <w:b w:val="1"/>
                <w:rtl w:val="0"/>
              </w:rPr>
              <w:t xml:space="preserve">Vendor and Source Agnostic</w:t>
            </w:r>
            <w:r w:rsidDel="00000000" w:rsidR="00000000" w:rsidRPr="00000000">
              <w:rPr>
                <w:rtl w:val="0"/>
              </w:rPr>
            </w:r>
          </w:p>
          <w:p w:rsidR="00000000" w:rsidDel="00000000" w:rsidP="00000000" w:rsidRDefault="00000000" w:rsidRPr="00000000" w14:paraId="000000A3">
            <w:pPr>
              <w:ind w:left="0" w:firstLine="0"/>
              <w:rPr/>
            </w:pPr>
            <w:r w:rsidDel="00000000" w:rsidR="00000000" w:rsidRPr="00000000">
              <w:rPr>
                <w:rtl w:val="0"/>
              </w:rPr>
              <w:t xml:space="preserve">Support deployment and use within an enterprise consisting of different vendors. Allow sharing of playbooks between enterprises with different environments, solutions, and vendors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PID.Dep</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INTEROP.2</w:t>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rPr>
                <w:b w:val="1"/>
              </w:rPr>
            </w:pPr>
            <w:r w:rsidDel="00000000" w:rsidR="00000000" w:rsidRPr="00000000">
              <w:rPr>
                <w:b w:val="1"/>
                <w:rtl w:val="0"/>
              </w:rPr>
              <w:t xml:space="preserve">Extensions</w:t>
            </w:r>
          </w:p>
          <w:p w:rsidR="00000000" w:rsidDel="00000000" w:rsidP="00000000" w:rsidRDefault="00000000" w:rsidRPr="00000000" w14:paraId="000000A7">
            <w:pPr>
              <w:ind w:left="0" w:firstLine="0"/>
              <w:rPr/>
            </w:pPr>
            <w:r w:rsidDel="00000000" w:rsidR="00000000" w:rsidRPr="00000000">
              <w:rPr>
                <w:rtl w:val="0"/>
              </w:rPr>
              <w:t xml:space="preserve">Support vendor-specific extensions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PID.Dep</w:t>
            </w:r>
          </w:p>
        </w:tc>
      </w:tr>
    </w:tbl>
    <w:p w:rsidR="00000000" w:rsidDel="00000000" w:rsidP="00000000" w:rsidRDefault="00000000" w:rsidRPr="00000000" w14:paraId="000000A9">
      <w:pPr>
        <w:ind w:left="0" w:firstLine="0"/>
        <w:rPr/>
      </w:pPr>
      <w:r w:rsidDel="00000000" w:rsidR="00000000" w:rsidRPr="00000000">
        <w:rPr>
          <w:rtl w:val="0"/>
        </w:rPr>
      </w:r>
    </w:p>
    <w:p w:rsidR="00000000" w:rsidDel="00000000" w:rsidP="00000000" w:rsidRDefault="00000000" w:rsidRPr="00000000" w14:paraId="000000AA">
      <w:pPr>
        <w:pStyle w:val="Heading2"/>
        <w:rPr/>
      </w:pPr>
      <w:bookmarkStart w:colFirst="0" w:colLast="0" w:name="_cj5fy5fwy5s5" w:id="22"/>
      <w:bookmarkEnd w:id="22"/>
      <w:r w:rsidDel="00000000" w:rsidR="00000000" w:rsidRPr="00000000">
        <w:rPr>
          <w:rtl w:val="0"/>
        </w:rPr>
        <w:t xml:space="preserve">2.3 Actions</w:t>
      </w:r>
    </w:p>
    <w:tbl>
      <w:tblPr>
        <w:tblStyle w:val="Table3"/>
        <w:tblW w:w="9356.007393715343"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36.007393715342"/>
        <w:gridCol w:w="5910"/>
        <w:gridCol w:w="2010"/>
        <w:tblGridChange w:id="0">
          <w:tblGrid>
            <w:gridCol w:w="1436.007393715342"/>
            <w:gridCol w:w="5910"/>
            <w:gridCol w:w="2010"/>
          </w:tblGrid>
        </w:tblGridChange>
      </w:tblGrid>
      <w:tr>
        <w:tc>
          <w:tcPr>
            <w:shd w:fill="c9daf8" w:val="clear"/>
            <w:tcMar>
              <w:top w:w="100.0" w:type="dxa"/>
              <w:left w:w="100.0" w:type="dxa"/>
              <w:bottom w:w="100.0" w:type="dxa"/>
              <w:right w:w="100.0" w:type="dxa"/>
            </w:tcMar>
            <w:vAlign w:val="top"/>
          </w:tcPr>
          <w:p w:rsidR="00000000" w:rsidDel="00000000" w:rsidP="00000000" w:rsidRDefault="00000000" w:rsidRPr="00000000" w14:paraId="000000AB">
            <w:pPr>
              <w:widowControl w:val="0"/>
              <w:spacing w:line="240" w:lineRule="auto"/>
              <w:jc w:val="center"/>
              <w:rPr>
                <w:b w:val="1"/>
              </w:rPr>
            </w:pPr>
            <w:r w:rsidDel="00000000" w:rsidR="00000000" w:rsidRPr="00000000">
              <w:rPr>
                <w:b w:val="1"/>
                <w:rtl w:val="0"/>
              </w:rPr>
              <w:t xml:space="preserve">Requirement</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AC">
            <w:pPr>
              <w:widowControl w:val="0"/>
              <w:spacing w:line="240" w:lineRule="auto"/>
              <w:jc w:val="center"/>
              <w:rPr>
                <w:b w:val="1"/>
              </w:rPr>
            </w:pPr>
            <w:r w:rsidDel="00000000" w:rsidR="00000000" w:rsidRPr="00000000">
              <w:rPr>
                <w:b w:val="1"/>
                <w:rtl w:val="0"/>
              </w:rPr>
              <w:t xml:space="preserve">Details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AD">
            <w:pPr>
              <w:widowControl w:val="0"/>
              <w:spacing w:line="240" w:lineRule="auto"/>
              <w:jc w:val="center"/>
              <w:rPr>
                <w:b w:val="1"/>
              </w:rPr>
            </w:pPr>
            <w:r w:rsidDel="00000000" w:rsidR="00000000" w:rsidRPr="00000000">
              <w:rPr>
                <w:b w:val="1"/>
                <w:rtl w:val="0"/>
              </w:rPr>
              <w:t xml:space="preserve">PID</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E">
            <w:pPr>
              <w:widowControl w:val="0"/>
              <w:spacing w:line="240" w:lineRule="auto"/>
              <w:jc w:val="center"/>
              <w:rPr/>
            </w:pPr>
            <w:r w:rsidDel="00000000" w:rsidR="00000000" w:rsidRPr="00000000">
              <w:rPr>
                <w:rtl w:val="0"/>
              </w:rPr>
              <w:t xml:space="preserve">ACT.1</w:t>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rPr>
                <w:b w:val="1"/>
              </w:rPr>
            </w:pPr>
            <w:r w:rsidDel="00000000" w:rsidR="00000000" w:rsidRPr="00000000">
              <w:rPr>
                <w:b w:val="1"/>
                <w:rtl w:val="0"/>
              </w:rPr>
              <w:t xml:space="preserve">Multiple Actions</w:t>
            </w:r>
          </w:p>
          <w:p w:rsidR="00000000" w:rsidDel="00000000" w:rsidP="00000000" w:rsidRDefault="00000000" w:rsidRPr="00000000" w14:paraId="000000B0">
            <w:pPr>
              <w:ind w:left="0" w:firstLine="0"/>
              <w:rPr>
                <w:rFonts w:ascii="Calibri" w:cs="Calibri" w:eastAsia="Calibri" w:hAnsi="Calibri"/>
                <w:sz w:val="22"/>
                <w:szCs w:val="22"/>
              </w:rPr>
            </w:pPr>
            <w:r w:rsidDel="00000000" w:rsidR="00000000" w:rsidRPr="00000000">
              <w:rPr>
                <w:rtl w:val="0"/>
              </w:rPr>
              <w:t xml:space="preserve">The solution needs to support the ability to document one or more actions that can be processed in a batch manner or as-a-group concept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1">
            <w:pPr>
              <w:jc w:val="center"/>
              <w:rPr/>
            </w:pPr>
            <w:r w:rsidDel="00000000" w:rsidR="00000000" w:rsidRPr="00000000">
              <w:rPr>
                <w:rtl w:val="0"/>
              </w:rPr>
              <w:t xml:space="preserve">PID.Struct; PID.ActModel</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B2">
            <w:pPr>
              <w:widowControl w:val="0"/>
              <w:spacing w:line="240" w:lineRule="auto"/>
              <w:jc w:val="center"/>
              <w:rPr/>
            </w:pPr>
            <w:r w:rsidDel="00000000" w:rsidR="00000000" w:rsidRPr="00000000">
              <w:rPr>
                <w:rtl w:val="0"/>
              </w:rPr>
              <w:t xml:space="preserve">ACT.2</w:t>
            </w:r>
          </w:p>
        </w:tc>
        <w:tc>
          <w:tcPr>
            <w:shd w:fill="auto" w:val="clear"/>
            <w:tcMar>
              <w:top w:w="100.0" w:type="dxa"/>
              <w:left w:w="100.0" w:type="dxa"/>
              <w:bottom w:w="100.0" w:type="dxa"/>
              <w:right w:w="100.0" w:type="dxa"/>
            </w:tcMar>
            <w:vAlign w:val="top"/>
          </w:tcPr>
          <w:p w:rsidR="00000000" w:rsidDel="00000000" w:rsidP="00000000" w:rsidRDefault="00000000" w:rsidRPr="00000000" w14:paraId="000000B3">
            <w:pPr>
              <w:rPr>
                <w:b w:val="1"/>
              </w:rPr>
            </w:pPr>
            <w:r w:rsidDel="00000000" w:rsidR="00000000" w:rsidRPr="00000000">
              <w:rPr>
                <w:b w:val="1"/>
                <w:rtl w:val="0"/>
              </w:rPr>
              <w:t xml:space="preserve">Sequencing of Actions</w:t>
            </w:r>
          </w:p>
          <w:p w:rsidR="00000000" w:rsidDel="00000000" w:rsidP="00000000" w:rsidRDefault="00000000" w:rsidRPr="00000000" w14:paraId="000000B4">
            <w:pPr>
              <w:ind w:left="0" w:firstLine="0"/>
              <w:rPr/>
            </w:pPr>
            <w:r w:rsidDel="00000000" w:rsidR="00000000" w:rsidRPr="00000000">
              <w:rPr>
                <w:rtl w:val="0"/>
              </w:rPr>
              <w:t xml:space="preserve">Actions often have to be done in a very specific order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jc w:val="center"/>
              <w:rPr/>
            </w:pPr>
            <w:r w:rsidDel="00000000" w:rsidR="00000000" w:rsidRPr="00000000">
              <w:rPr>
                <w:rtl w:val="0"/>
              </w:rPr>
              <w:t xml:space="preserve">PID.Struct; PID.ActModel</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B6">
            <w:pPr>
              <w:widowControl w:val="0"/>
              <w:spacing w:line="240" w:lineRule="auto"/>
              <w:jc w:val="center"/>
              <w:rPr/>
            </w:pPr>
            <w:r w:rsidDel="00000000" w:rsidR="00000000" w:rsidRPr="00000000">
              <w:rPr>
                <w:rtl w:val="0"/>
              </w:rPr>
              <w:t xml:space="preserve">ACT.3</w:t>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rPr>
                <w:b w:val="1"/>
              </w:rPr>
            </w:pPr>
            <w:r w:rsidDel="00000000" w:rsidR="00000000" w:rsidRPr="00000000">
              <w:rPr>
                <w:b w:val="1"/>
                <w:rtl w:val="0"/>
              </w:rPr>
              <w:t xml:space="preserve">Back Out Steps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jc w:val="center"/>
              <w:rPr/>
            </w:pPr>
            <w:r w:rsidDel="00000000" w:rsidR="00000000" w:rsidRPr="00000000">
              <w:rPr>
                <w:rtl w:val="0"/>
              </w:rPr>
              <w:t xml:space="preserve">PID.Struct; PID.ActModel</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line="240" w:lineRule="auto"/>
              <w:jc w:val="center"/>
              <w:rPr/>
            </w:pPr>
            <w:r w:rsidDel="00000000" w:rsidR="00000000" w:rsidRPr="00000000">
              <w:rPr>
                <w:rtl w:val="0"/>
              </w:rPr>
              <w:t xml:space="preserve">ACT.4</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rPr>
                <w:b w:val="1"/>
              </w:rPr>
            </w:pPr>
            <w:r w:rsidDel="00000000" w:rsidR="00000000" w:rsidRPr="00000000">
              <w:rPr>
                <w:b w:val="1"/>
                <w:rtl w:val="0"/>
              </w:rPr>
              <w:t xml:space="preserve">Combination of Actions</w:t>
            </w:r>
          </w:p>
          <w:p w:rsidR="00000000" w:rsidDel="00000000" w:rsidP="00000000" w:rsidRDefault="00000000" w:rsidRPr="00000000" w14:paraId="000000BB">
            <w:pPr>
              <w:ind w:left="0" w:firstLine="0"/>
              <w:rPr/>
            </w:pPr>
            <w:r w:rsidDel="00000000" w:rsidR="00000000" w:rsidRPr="00000000">
              <w:rPr>
                <w:rtl w:val="0"/>
              </w:rPr>
              <w:t xml:space="preserve">The ability to define an ordered list of atomic actions that must be executed as a combined set rather than as a sequence. For example: deny + log, allow + log, redirect + log. </w:t>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jc w:val="center"/>
              <w:rPr/>
            </w:pPr>
            <w:r w:rsidDel="00000000" w:rsidR="00000000" w:rsidRPr="00000000">
              <w:rPr>
                <w:rtl w:val="0"/>
              </w:rPr>
              <w:t xml:space="preserve">PID.Struct; PID.ActModel</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line="240" w:lineRule="auto"/>
              <w:jc w:val="center"/>
              <w:rPr/>
            </w:pPr>
            <w:r w:rsidDel="00000000" w:rsidR="00000000" w:rsidRPr="00000000">
              <w:rPr>
                <w:rtl w:val="0"/>
              </w:rPr>
              <w:t xml:space="preserve">ACT.5</w:t>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rPr>
                <w:b w:val="1"/>
              </w:rPr>
            </w:pPr>
            <w:r w:rsidDel="00000000" w:rsidR="00000000" w:rsidRPr="00000000">
              <w:rPr>
                <w:b w:val="1"/>
                <w:rtl w:val="0"/>
              </w:rPr>
              <w:t xml:space="preserve">Support Different Action Types</w:t>
            </w:r>
          </w:p>
          <w:p w:rsidR="00000000" w:rsidDel="00000000" w:rsidP="00000000" w:rsidRDefault="00000000" w:rsidRPr="00000000" w14:paraId="000000BF">
            <w:pPr>
              <w:widowControl w:val="0"/>
              <w:spacing w:line="240" w:lineRule="auto"/>
              <w:ind w:left="0" w:firstLine="0"/>
              <w:rPr/>
            </w:pPr>
            <w:r w:rsidDel="00000000" w:rsidR="00000000" w:rsidRPr="00000000">
              <w:rPr>
                <w:rtl w:val="0"/>
              </w:rPr>
              <w:t xml:space="preserve">The solution needs to support the following types of actions: Machine automation, Human actions / intervention, High level conceptual actions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jc w:val="center"/>
              <w:rPr/>
            </w:pPr>
            <w:r w:rsidDel="00000000" w:rsidR="00000000" w:rsidRPr="00000000">
              <w:rPr>
                <w:rtl w:val="0"/>
              </w:rPr>
              <w:t xml:space="preserve">PID.Struct; PID.ActModel</w:t>
            </w:r>
          </w:p>
          <w:p w:rsidR="00000000" w:rsidDel="00000000" w:rsidP="00000000" w:rsidRDefault="00000000" w:rsidRPr="00000000" w14:paraId="000000C1">
            <w:pPr>
              <w:jc w:val="center"/>
              <w:rPr/>
            </w:pPr>
            <w:r w:rsidDel="00000000" w:rsidR="00000000" w:rsidRPr="00000000">
              <w:rPr>
                <w:rtl w:val="0"/>
              </w:rPr>
              <w:t xml:space="preserve">PID.ActDetail</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spacing w:line="240" w:lineRule="auto"/>
              <w:jc w:val="center"/>
              <w:rPr/>
            </w:pPr>
            <w:r w:rsidDel="00000000" w:rsidR="00000000" w:rsidRPr="00000000">
              <w:rPr>
                <w:rtl w:val="0"/>
              </w:rPr>
              <w:t xml:space="preserve">ACT.6</w:t>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spacing w:line="240" w:lineRule="auto"/>
              <w:rPr>
                <w:b w:val="1"/>
              </w:rPr>
            </w:pPr>
            <w:r w:rsidDel="00000000" w:rsidR="00000000" w:rsidRPr="00000000">
              <w:rPr>
                <w:b w:val="1"/>
                <w:rtl w:val="0"/>
              </w:rPr>
              <w:t xml:space="preserve">Handle Atomic and Non-Atomic Actions</w:t>
            </w:r>
          </w:p>
          <w:p w:rsidR="00000000" w:rsidDel="00000000" w:rsidP="00000000" w:rsidRDefault="00000000" w:rsidRPr="00000000" w14:paraId="000000C4">
            <w:pPr>
              <w:spacing w:line="240" w:lineRule="auto"/>
              <w:rPr/>
            </w:pPr>
            <w:r w:rsidDel="00000000" w:rsidR="00000000" w:rsidRPr="00000000">
              <w:rPr>
                <w:rtl w:val="0"/>
              </w:rPr>
              <w:t xml:space="preserve">Needs ability for systems to have option to support both atomic and non-atomic transactions</w:t>
            </w:r>
          </w:p>
          <w:p w:rsidR="00000000" w:rsidDel="00000000" w:rsidP="00000000" w:rsidRDefault="00000000" w:rsidRPr="00000000" w14:paraId="000000C5">
            <w:pPr>
              <w:spacing w:line="240" w:lineRule="auto"/>
              <w:rPr/>
            </w:pPr>
            <w:r w:rsidDel="00000000" w:rsidR="00000000" w:rsidRPr="00000000">
              <w:rPr>
                <w:rtl w:val="0"/>
              </w:rPr>
            </w:r>
          </w:p>
          <w:p w:rsidR="00000000" w:rsidDel="00000000" w:rsidP="00000000" w:rsidRDefault="00000000" w:rsidRPr="00000000" w14:paraId="000000C6">
            <w:pPr>
              <w:spacing w:line="240" w:lineRule="auto"/>
              <w:rPr/>
            </w:pPr>
            <w:r w:rsidDel="00000000" w:rsidR="00000000" w:rsidRPr="00000000">
              <w:rPr>
                <w:rtl w:val="0"/>
              </w:rPr>
              <w:t xml:space="preserve">Example: 1 sequence of actions provided but a system can be provisioned with option to treat entire sequence as atomic (i.e. one failure causes the entire sequence to be rejected) or non-atomic where the system can continue to operate through the sequence with errors being recorded but not treated as data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C7">
            <w:pPr>
              <w:jc w:val="center"/>
              <w:rPr/>
            </w:pPr>
            <w:r w:rsidDel="00000000" w:rsidR="00000000" w:rsidRPr="00000000">
              <w:rPr>
                <w:rtl w:val="0"/>
              </w:rPr>
              <w:t xml:space="preserve">PID.Struct;</w:t>
            </w:r>
          </w:p>
          <w:p w:rsidR="00000000" w:rsidDel="00000000" w:rsidP="00000000" w:rsidRDefault="00000000" w:rsidRPr="00000000" w14:paraId="000000C8">
            <w:pPr>
              <w:jc w:val="center"/>
              <w:rPr/>
            </w:pPr>
            <w:r w:rsidDel="00000000" w:rsidR="00000000" w:rsidRPr="00000000">
              <w:rPr>
                <w:rtl w:val="0"/>
              </w:rPr>
              <w:t xml:space="preserve">PID.ActModel</w:t>
            </w:r>
          </w:p>
          <w:p w:rsidR="00000000" w:rsidDel="00000000" w:rsidP="00000000" w:rsidRDefault="00000000" w:rsidRPr="00000000" w14:paraId="000000C9">
            <w:pPr>
              <w:jc w:val="center"/>
              <w:rPr/>
            </w:pPr>
            <w:r w:rsidDel="00000000" w:rsidR="00000000" w:rsidRPr="00000000">
              <w:rPr>
                <w:rtl w:val="0"/>
              </w:rPr>
              <w:t xml:space="preserve">PID.ActDetail</w:t>
            </w:r>
          </w:p>
        </w:tc>
      </w:tr>
    </w:tbl>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pStyle w:val="Heading2"/>
        <w:rPr/>
      </w:pPr>
      <w:bookmarkStart w:colFirst="0" w:colLast="0" w:name="_k0pgx6hzhzs2" w:id="23"/>
      <w:bookmarkEnd w:id="23"/>
      <w:r w:rsidDel="00000000" w:rsidR="00000000" w:rsidRPr="00000000">
        <w:rPr>
          <w:rtl w:val="0"/>
        </w:rPr>
        <w:t xml:space="preserve">2.4 Control Logic</w:t>
      </w:r>
    </w:p>
    <w:tbl>
      <w:tblPr>
        <w:tblStyle w:val="Table4"/>
        <w:tblW w:w="9356.007393715343"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36.007393715342"/>
        <w:gridCol w:w="5940"/>
        <w:gridCol w:w="1980"/>
        <w:tblGridChange w:id="0">
          <w:tblGrid>
            <w:gridCol w:w="1436.007393715342"/>
            <w:gridCol w:w="5940"/>
            <w:gridCol w:w="1980"/>
          </w:tblGrid>
        </w:tblGridChange>
      </w:tblGrid>
      <w:tr>
        <w:tc>
          <w:tcPr>
            <w:shd w:fill="c9daf8" w:val="clear"/>
            <w:tcMar>
              <w:top w:w="100.0" w:type="dxa"/>
              <w:left w:w="100.0" w:type="dxa"/>
              <w:bottom w:w="100.0" w:type="dxa"/>
              <w:right w:w="100.0" w:type="dxa"/>
            </w:tcMar>
            <w:vAlign w:val="top"/>
          </w:tcPr>
          <w:p w:rsidR="00000000" w:rsidDel="00000000" w:rsidP="00000000" w:rsidRDefault="00000000" w:rsidRPr="00000000" w14:paraId="000000CC">
            <w:pPr>
              <w:widowControl w:val="0"/>
              <w:spacing w:line="240" w:lineRule="auto"/>
              <w:jc w:val="center"/>
              <w:rPr>
                <w:b w:val="1"/>
              </w:rPr>
            </w:pPr>
            <w:r w:rsidDel="00000000" w:rsidR="00000000" w:rsidRPr="00000000">
              <w:rPr>
                <w:b w:val="1"/>
                <w:rtl w:val="0"/>
              </w:rPr>
              <w:t xml:space="preserve">Requirement</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CD">
            <w:pPr>
              <w:widowControl w:val="0"/>
              <w:spacing w:line="240" w:lineRule="auto"/>
              <w:jc w:val="center"/>
              <w:rPr>
                <w:b w:val="1"/>
              </w:rPr>
            </w:pPr>
            <w:r w:rsidDel="00000000" w:rsidR="00000000" w:rsidRPr="00000000">
              <w:rPr>
                <w:b w:val="1"/>
                <w:rtl w:val="0"/>
              </w:rPr>
              <w:t xml:space="preserve">Details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CE">
            <w:pPr>
              <w:widowControl w:val="0"/>
              <w:spacing w:line="240" w:lineRule="auto"/>
              <w:jc w:val="center"/>
              <w:rPr>
                <w:b w:val="1"/>
              </w:rPr>
            </w:pPr>
            <w:r w:rsidDel="00000000" w:rsidR="00000000" w:rsidRPr="00000000">
              <w:rPr>
                <w:b w:val="1"/>
                <w:rtl w:val="0"/>
              </w:rPr>
              <w:t xml:space="preserve">PID</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line="240" w:lineRule="auto"/>
              <w:jc w:val="center"/>
              <w:rPr/>
            </w:pPr>
            <w:r w:rsidDel="00000000" w:rsidR="00000000" w:rsidRPr="00000000">
              <w:rPr>
                <w:rtl w:val="0"/>
              </w:rPr>
              <w:t xml:space="preserve">LOGIC.1</w:t>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rPr>
                <w:b w:val="1"/>
              </w:rPr>
            </w:pPr>
            <w:r w:rsidDel="00000000" w:rsidR="00000000" w:rsidRPr="00000000">
              <w:rPr>
                <w:b w:val="1"/>
                <w:rtl w:val="0"/>
              </w:rPr>
              <w:t xml:space="preserve">Temporal Logic</w:t>
            </w:r>
          </w:p>
          <w:p w:rsidR="00000000" w:rsidDel="00000000" w:rsidP="00000000" w:rsidRDefault="00000000" w:rsidRPr="00000000" w14:paraId="000000D1">
            <w:pPr>
              <w:ind w:left="0" w:firstLine="0"/>
              <w:rPr/>
            </w:pPr>
            <w:r w:rsidDel="00000000" w:rsidR="00000000" w:rsidRPr="00000000">
              <w:rPr>
                <w:rtl w:val="0"/>
              </w:rPr>
              <w:t xml:space="preserve">Sometimes actions can only be performed at certain times or after a certain amount of time has passed after the previous action. (Window of opportunity. Example: Must I act now? If I don’t act now, will the opportunity close? Will the response action be different later?)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2">
            <w:pPr>
              <w:jc w:val="center"/>
              <w:rPr/>
            </w:pPr>
            <w:r w:rsidDel="00000000" w:rsidR="00000000" w:rsidRPr="00000000">
              <w:rPr>
                <w:rtl w:val="0"/>
              </w:rPr>
              <w:t xml:space="preserve">PID.Struct; PID.ActModel</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D3">
            <w:pPr>
              <w:widowControl w:val="0"/>
              <w:spacing w:line="240" w:lineRule="auto"/>
              <w:jc w:val="center"/>
              <w:rPr/>
            </w:pPr>
            <w:r w:rsidDel="00000000" w:rsidR="00000000" w:rsidRPr="00000000">
              <w:rPr>
                <w:rtl w:val="0"/>
              </w:rPr>
              <w:t xml:space="preserve">LOGIC.2</w:t>
            </w:r>
          </w:p>
        </w:tc>
        <w:tc>
          <w:tcPr>
            <w:shd w:fill="auto" w:val="clear"/>
            <w:tcMar>
              <w:top w:w="100.0" w:type="dxa"/>
              <w:left w:w="100.0" w:type="dxa"/>
              <w:bottom w:w="100.0" w:type="dxa"/>
              <w:right w:w="100.0" w:type="dxa"/>
            </w:tcMar>
            <w:vAlign w:val="top"/>
          </w:tcPr>
          <w:p w:rsidR="00000000" w:rsidDel="00000000" w:rsidP="00000000" w:rsidRDefault="00000000" w:rsidRPr="00000000" w14:paraId="000000D4">
            <w:pPr>
              <w:rPr>
                <w:b w:val="1"/>
              </w:rPr>
            </w:pPr>
            <w:r w:rsidDel="00000000" w:rsidR="00000000" w:rsidRPr="00000000">
              <w:rPr>
                <w:b w:val="1"/>
                <w:rtl w:val="0"/>
              </w:rPr>
              <w:t xml:space="preserve">Conditional Logic</w:t>
            </w:r>
          </w:p>
          <w:p w:rsidR="00000000" w:rsidDel="00000000" w:rsidP="00000000" w:rsidRDefault="00000000" w:rsidRPr="00000000" w14:paraId="000000D5">
            <w:pPr>
              <w:ind w:left="0" w:firstLine="0"/>
              <w:rPr>
                <w:b w:val="1"/>
              </w:rPr>
            </w:pPr>
            <w:r w:rsidDel="00000000" w:rsidR="00000000" w:rsidRPr="00000000">
              <w:rPr>
                <w:rtl w:val="0"/>
              </w:rPr>
              <w:t xml:space="preserve">Often actions need to be performed based on environmental data or outcomes of previous actions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jc w:val="center"/>
              <w:rPr/>
            </w:pPr>
            <w:r w:rsidDel="00000000" w:rsidR="00000000" w:rsidRPr="00000000">
              <w:rPr>
                <w:rtl w:val="0"/>
              </w:rPr>
              <w:t xml:space="preserve">PID.Struct; PID.ActModel</w:t>
            </w:r>
          </w:p>
        </w:tc>
      </w:tr>
    </w:tbl>
    <w:p w:rsidR="00000000" w:rsidDel="00000000" w:rsidP="00000000" w:rsidRDefault="00000000" w:rsidRPr="00000000" w14:paraId="000000D7">
      <w:pPr>
        <w:rPr/>
      </w:pPr>
      <w:r w:rsidDel="00000000" w:rsidR="00000000" w:rsidRPr="00000000">
        <w:rPr>
          <w:rtl w:val="0"/>
        </w:rPr>
      </w:r>
    </w:p>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pStyle w:val="Heading2"/>
        <w:rPr/>
      </w:pPr>
      <w:bookmarkStart w:colFirst="0" w:colLast="0" w:name="_59uupzxta9s9" w:id="24"/>
      <w:bookmarkEnd w:id="24"/>
      <w:r w:rsidDel="00000000" w:rsidR="00000000" w:rsidRPr="00000000">
        <w:rPr>
          <w:rtl w:val="0"/>
        </w:rPr>
        <w:t xml:space="preserve">2.5 Identifiers</w:t>
      </w:r>
    </w:p>
    <w:tbl>
      <w:tblPr>
        <w:tblStyle w:val="Table5"/>
        <w:tblW w:w="9356.007393715343"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36.007393715342"/>
        <w:gridCol w:w="5865"/>
        <w:gridCol w:w="2055"/>
        <w:tblGridChange w:id="0">
          <w:tblGrid>
            <w:gridCol w:w="1436.007393715342"/>
            <w:gridCol w:w="5865"/>
            <w:gridCol w:w="2055"/>
          </w:tblGrid>
        </w:tblGridChange>
      </w:tblGrid>
      <w:tr>
        <w:tc>
          <w:tcPr>
            <w:shd w:fill="c9daf8" w:val="clear"/>
            <w:tcMar>
              <w:top w:w="100.0" w:type="dxa"/>
              <w:left w:w="100.0" w:type="dxa"/>
              <w:bottom w:w="100.0" w:type="dxa"/>
              <w:right w:w="100.0" w:type="dxa"/>
            </w:tcMar>
            <w:vAlign w:val="top"/>
          </w:tcPr>
          <w:p w:rsidR="00000000" w:rsidDel="00000000" w:rsidP="00000000" w:rsidRDefault="00000000" w:rsidRPr="00000000" w14:paraId="000000DA">
            <w:pPr>
              <w:widowControl w:val="0"/>
              <w:spacing w:line="240" w:lineRule="auto"/>
              <w:jc w:val="center"/>
              <w:rPr>
                <w:b w:val="1"/>
              </w:rPr>
            </w:pPr>
            <w:r w:rsidDel="00000000" w:rsidR="00000000" w:rsidRPr="00000000">
              <w:rPr>
                <w:b w:val="1"/>
                <w:rtl w:val="0"/>
              </w:rPr>
              <w:t xml:space="preserve">Requirement</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DB">
            <w:pPr>
              <w:widowControl w:val="0"/>
              <w:spacing w:line="240" w:lineRule="auto"/>
              <w:jc w:val="center"/>
              <w:rPr>
                <w:b w:val="1"/>
              </w:rPr>
            </w:pPr>
            <w:r w:rsidDel="00000000" w:rsidR="00000000" w:rsidRPr="00000000">
              <w:rPr>
                <w:b w:val="1"/>
                <w:rtl w:val="0"/>
              </w:rPr>
              <w:t xml:space="preserve">Details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40" w:lineRule="auto"/>
              <w:jc w:val="center"/>
              <w:rPr>
                <w:b w:val="1"/>
              </w:rPr>
            </w:pPr>
            <w:r w:rsidDel="00000000" w:rsidR="00000000" w:rsidRPr="00000000">
              <w:rPr>
                <w:b w:val="1"/>
                <w:rtl w:val="0"/>
              </w:rPr>
              <w:t xml:space="preserve">PID</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DD">
            <w:pPr>
              <w:widowControl w:val="0"/>
              <w:spacing w:line="240" w:lineRule="auto"/>
              <w:jc w:val="center"/>
              <w:rPr/>
            </w:pPr>
            <w:r w:rsidDel="00000000" w:rsidR="00000000" w:rsidRPr="00000000">
              <w:rPr>
                <w:rtl w:val="0"/>
              </w:rPr>
              <w:t xml:space="preserve">IDENT.1</w:t>
            </w:r>
          </w:p>
        </w:tc>
        <w:tc>
          <w:tcPr>
            <w:shd w:fill="auto" w:val="clear"/>
            <w:tcMar>
              <w:top w:w="100.0" w:type="dxa"/>
              <w:left w:w="100.0" w:type="dxa"/>
              <w:bottom w:w="100.0" w:type="dxa"/>
              <w:right w:w="100.0" w:type="dxa"/>
            </w:tcMar>
            <w:vAlign w:val="top"/>
          </w:tcPr>
          <w:p w:rsidR="00000000" w:rsidDel="00000000" w:rsidP="00000000" w:rsidRDefault="00000000" w:rsidRPr="00000000" w14:paraId="000000DE">
            <w:pPr>
              <w:rPr>
                <w:b w:val="1"/>
              </w:rPr>
            </w:pPr>
            <w:r w:rsidDel="00000000" w:rsidR="00000000" w:rsidRPr="00000000">
              <w:rPr>
                <w:b w:val="1"/>
                <w:rtl w:val="0"/>
              </w:rPr>
              <w:t xml:space="preserve">System Integration</w:t>
            </w:r>
          </w:p>
          <w:p w:rsidR="00000000" w:rsidDel="00000000" w:rsidP="00000000" w:rsidRDefault="00000000" w:rsidRPr="00000000" w14:paraId="000000DF">
            <w:pPr>
              <w:ind w:left="0" w:firstLine="0"/>
              <w:rPr/>
            </w:pPr>
            <w:r w:rsidDel="00000000" w:rsidR="00000000" w:rsidRPr="00000000">
              <w:rPr>
                <w:rtl w:val="0"/>
              </w:rPr>
              <w:t xml:space="preserve">Needs to integrate with other systems globally. Needs to support a globally unique ID like a UUIDv4 [</w:t>
            </w:r>
            <w:hyperlink w:anchor="kix.onjm3t6qxyap">
              <w:r w:rsidDel="00000000" w:rsidR="00000000" w:rsidRPr="00000000">
                <w:rPr>
                  <w:color w:val="1155cc"/>
                  <w:u w:val="single"/>
                  <w:rtl w:val="0"/>
                </w:rPr>
                <w:t xml:space="preserve">RFC4122</w:t>
              </w:r>
            </w:hyperlink>
            <w:r w:rsidDel="00000000" w:rsidR="00000000" w:rsidRPr="00000000">
              <w:rPr>
                <w:rtl w:val="0"/>
              </w:rPr>
              <w:t xml:space="preserve">] for projects and individual actions.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jc w:val="center"/>
              <w:rPr/>
            </w:pPr>
            <w:r w:rsidDel="00000000" w:rsidR="00000000" w:rsidRPr="00000000">
              <w:rPr>
                <w:rtl w:val="0"/>
              </w:rPr>
              <w:t xml:space="preserve">PID.Dep; </w:t>
              <w:br w:type="textWrapping"/>
              <w:t xml:space="preserve">PID.Meta</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E1">
            <w:pPr>
              <w:widowControl w:val="0"/>
              <w:spacing w:line="240" w:lineRule="auto"/>
              <w:jc w:val="center"/>
              <w:rPr/>
            </w:pPr>
            <w:r w:rsidDel="00000000" w:rsidR="00000000" w:rsidRPr="00000000">
              <w:rPr>
                <w:rtl w:val="0"/>
              </w:rPr>
              <w:t xml:space="preserve">IDENT.2</w:t>
            </w:r>
          </w:p>
        </w:tc>
        <w:tc>
          <w:tcPr>
            <w:shd w:fill="auto" w:val="clear"/>
            <w:tcMar>
              <w:top w:w="100.0" w:type="dxa"/>
              <w:left w:w="100.0" w:type="dxa"/>
              <w:bottom w:w="100.0" w:type="dxa"/>
              <w:right w:w="100.0" w:type="dxa"/>
            </w:tcMar>
            <w:vAlign w:val="top"/>
          </w:tcPr>
          <w:p w:rsidR="00000000" w:rsidDel="00000000" w:rsidP="00000000" w:rsidRDefault="00000000" w:rsidRPr="00000000" w14:paraId="000000E2">
            <w:pPr>
              <w:rPr>
                <w:b w:val="1"/>
              </w:rPr>
            </w:pPr>
            <w:r w:rsidDel="00000000" w:rsidR="00000000" w:rsidRPr="00000000">
              <w:rPr>
                <w:b w:val="1"/>
                <w:rtl w:val="0"/>
              </w:rPr>
              <w:t xml:space="preserve">Monitoring</w:t>
            </w:r>
          </w:p>
          <w:p w:rsidR="00000000" w:rsidDel="00000000" w:rsidP="00000000" w:rsidRDefault="00000000" w:rsidRPr="00000000" w14:paraId="000000E3">
            <w:pPr>
              <w:rPr/>
            </w:pPr>
            <w:r w:rsidDel="00000000" w:rsidR="00000000" w:rsidRPr="00000000">
              <w:rPr>
                <w:rtl w:val="0"/>
              </w:rPr>
              <w:t xml:space="preserve">All transactions need to be able to be monitored. This means responses and notifications need a way to be tied back to the original request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jc w:val="center"/>
              <w:rPr/>
            </w:pPr>
            <w:r w:rsidDel="00000000" w:rsidR="00000000" w:rsidRPr="00000000">
              <w:rPr>
                <w:rtl w:val="0"/>
              </w:rPr>
              <w:t xml:space="preserve">PID.Dep; </w:t>
            </w:r>
          </w:p>
          <w:p w:rsidR="00000000" w:rsidDel="00000000" w:rsidP="00000000" w:rsidRDefault="00000000" w:rsidRPr="00000000" w14:paraId="000000E5">
            <w:pPr>
              <w:jc w:val="center"/>
              <w:rPr/>
            </w:pPr>
            <w:r w:rsidDel="00000000" w:rsidR="00000000" w:rsidRPr="00000000">
              <w:rPr>
                <w:rtl w:val="0"/>
              </w:rPr>
              <w:t xml:space="preserve">PID.Meta</w:t>
            </w:r>
          </w:p>
        </w:tc>
      </w:tr>
    </w:tbl>
    <w:p w:rsidR="00000000" w:rsidDel="00000000" w:rsidP="00000000" w:rsidRDefault="00000000" w:rsidRPr="00000000" w14:paraId="000000E6">
      <w:pPr>
        <w:rPr/>
      </w:pPr>
      <w:r w:rsidDel="00000000" w:rsidR="00000000" w:rsidRPr="00000000">
        <w:rPr>
          <w:rtl w:val="0"/>
        </w:rPr>
      </w:r>
    </w:p>
    <w:p w:rsidR="00000000" w:rsidDel="00000000" w:rsidP="00000000" w:rsidRDefault="00000000" w:rsidRPr="00000000" w14:paraId="000000E7">
      <w:pPr>
        <w:rPr/>
      </w:pPr>
      <w:r w:rsidDel="00000000" w:rsidR="00000000" w:rsidRPr="00000000">
        <w:rPr>
          <w:rtl w:val="0"/>
        </w:rPr>
      </w:r>
    </w:p>
    <w:p w:rsidR="00000000" w:rsidDel="00000000" w:rsidP="00000000" w:rsidRDefault="00000000" w:rsidRPr="00000000" w14:paraId="000000E8">
      <w:pPr>
        <w:pStyle w:val="Heading2"/>
        <w:rPr/>
      </w:pPr>
      <w:bookmarkStart w:colFirst="0" w:colLast="0" w:name="_4x84rneuuays" w:id="25"/>
      <w:bookmarkEnd w:id="25"/>
      <w:r w:rsidDel="00000000" w:rsidR="00000000" w:rsidRPr="00000000">
        <w:rPr>
          <w:rtl w:val="0"/>
        </w:rPr>
        <w:t xml:space="preserve">2.6 Targeting</w:t>
      </w:r>
    </w:p>
    <w:tbl>
      <w:tblPr>
        <w:tblStyle w:val="Table6"/>
        <w:tblW w:w="9356.007393715343"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36.007393715342"/>
        <w:gridCol w:w="6105"/>
        <w:gridCol w:w="1815"/>
        <w:tblGridChange w:id="0">
          <w:tblGrid>
            <w:gridCol w:w="1436.007393715342"/>
            <w:gridCol w:w="6105"/>
            <w:gridCol w:w="1815"/>
          </w:tblGrid>
        </w:tblGridChange>
      </w:tblGrid>
      <w:tr>
        <w:tc>
          <w:tcPr>
            <w:shd w:fill="c9daf8" w:val="clear"/>
            <w:tcMar>
              <w:top w:w="100.0" w:type="dxa"/>
              <w:left w:w="100.0" w:type="dxa"/>
              <w:bottom w:w="100.0" w:type="dxa"/>
              <w:right w:w="100.0" w:type="dxa"/>
            </w:tcMar>
            <w:vAlign w:val="top"/>
          </w:tcPr>
          <w:p w:rsidR="00000000" w:rsidDel="00000000" w:rsidP="00000000" w:rsidRDefault="00000000" w:rsidRPr="00000000" w14:paraId="000000E9">
            <w:pPr>
              <w:widowControl w:val="0"/>
              <w:spacing w:line="240" w:lineRule="auto"/>
              <w:jc w:val="center"/>
              <w:rPr>
                <w:b w:val="1"/>
              </w:rPr>
            </w:pPr>
            <w:r w:rsidDel="00000000" w:rsidR="00000000" w:rsidRPr="00000000">
              <w:rPr>
                <w:b w:val="1"/>
                <w:rtl w:val="0"/>
              </w:rPr>
              <w:t xml:space="preserve">Requirement</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EA">
            <w:pPr>
              <w:widowControl w:val="0"/>
              <w:spacing w:line="240" w:lineRule="auto"/>
              <w:jc w:val="center"/>
              <w:rPr>
                <w:b w:val="1"/>
              </w:rPr>
            </w:pPr>
            <w:r w:rsidDel="00000000" w:rsidR="00000000" w:rsidRPr="00000000">
              <w:rPr>
                <w:b w:val="1"/>
                <w:rtl w:val="0"/>
              </w:rPr>
              <w:t xml:space="preserve">Details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EB">
            <w:pPr>
              <w:widowControl w:val="0"/>
              <w:spacing w:line="240" w:lineRule="auto"/>
              <w:jc w:val="center"/>
              <w:rPr>
                <w:b w:val="1"/>
              </w:rPr>
            </w:pPr>
            <w:r w:rsidDel="00000000" w:rsidR="00000000" w:rsidRPr="00000000">
              <w:rPr>
                <w:b w:val="1"/>
                <w:rtl w:val="0"/>
              </w:rPr>
              <w:t xml:space="preserve">PID</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EC">
            <w:pPr>
              <w:widowControl w:val="0"/>
              <w:spacing w:line="240" w:lineRule="auto"/>
              <w:jc w:val="center"/>
              <w:rPr/>
            </w:pPr>
            <w:r w:rsidDel="00000000" w:rsidR="00000000" w:rsidRPr="00000000">
              <w:rPr>
                <w:rtl w:val="0"/>
              </w:rPr>
              <w:t xml:space="preserve">TARGET.1</w:t>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ind w:left="0" w:firstLine="0"/>
              <w:rPr>
                <w:b w:val="1"/>
              </w:rPr>
            </w:pPr>
            <w:r w:rsidDel="00000000" w:rsidR="00000000" w:rsidRPr="00000000">
              <w:rPr>
                <w:b w:val="1"/>
                <w:rtl w:val="0"/>
              </w:rPr>
              <w:t xml:space="preserve">Versioning</w:t>
            </w:r>
          </w:p>
          <w:p w:rsidR="00000000" w:rsidDel="00000000" w:rsidP="00000000" w:rsidRDefault="00000000" w:rsidRPr="00000000" w14:paraId="000000EE">
            <w:pPr>
              <w:ind w:left="0" w:firstLine="0"/>
              <w:rPr/>
            </w:pPr>
            <w:r w:rsidDel="00000000" w:rsidR="00000000" w:rsidRPr="00000000">
              <w:rPr>
                <w:rtl w:val="0"/>
              </w:rPr>
              <w:t xml:space="preserve">Allow actions, projects, and templates to be versioned. Support both incremental and semantic versioning.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EF">
            <w:pPr>
              <w:ind w:left="0" w:firstLine="0"/>
              <w:jc w:val="center"/>
              <w:rPr/>
            </w:pPr>
            <w:r w:rsidDel="00000000" w:rsidR="00000000" w:rsidRPr="00000000">
              <w:rPr>
                <w:rtl w:val="0"/>
              </w:rPr>
              <w:t xml:space="preserve">PID.Meta;</w:t>
            </w:r>
          </w:p>
          <w:p w:rsidR="00000000" w:rsidDel="00000000" w:rsidP="00000000" w:rsidRDefault="00000000" w:rsidRPr="00000000" w14:paraId="000000F0">
            <w:pPr>
              <w:ind w:left="0" w:firstLine="0"/>
              <w:jc w:val="center"/>
              <w:rPr/>
            </w:pPr>
            <w:r w:rsidDel="00000000" w:rsidR="00000000" w:rsidRPr="00000000">
              <w:rPr>
                <w:rtl w:val="0"/>
              </w:rPr>
              <w:t xml:space="preserve">PID.ActModel;</w:t>
            </w:r>
          </w:p>
          <w:p w:rsidR="00000000" w:rsidDel="00000000" w:rsidP="00000000" w:rsidRDefault="00000000" w:rsidRPr="00000000" w14:paraId="000000F1">
            <w:pPr>
              <w:ind w:left="0" w:firstLine="0"/>
              <w:jc w:val="center"/>
              <w:rPr/>
            </w:pPr>
            <w:r w:rsidDel="00000000" w:rsidR="00000000" w:rsidRPr="00000000">
              <w:rPr>
                <w:rtl w:val="0"/>
              </w:rPr>
              <w:t xml:space="preserve">PID.ActDetail</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F2">
            <w:pPr>
              <w:widowControl w:val="0"/>
              <w:spacing w:line="240" w:lineRule="auto"/>
              <w:jc w:val="center"/>
              <w:rPr/>
            </w:pPr>
            <w:r w:rsidDel="00000000" w:rsidR="00000000" w:rsidRPr="00000000">
              <w:rPr>
                <w:rtl w:val="0"/>
              </w:rPr>
              <w:t xml:space="preserve">TARGET.2</w:t>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rPr>
                <w:b w:val="1"/>
              </w:rPr>
            </w:pPr>
            <w:r w:rsidDel="00000000" w:rsidR="00000000" w:rsidRPr="00000000">
              <w:rPr>
                <w:b w:val="1"/>
                <w:rtl w:val="0"/>
              </w:rPr>
              <w:t xml:space="preserve">System / Group Targeting</w:t>
            </w:r>
          </w:p>
          <w:p w:rsidR="00000000" w:rsidDel="00000000" w:rsidP="00000000" w:rsidRDefault="00000000" w:rsidRPr="00000000" w14:paraId="000000F4">
            <w:pPr>
              <w:ind w:left="0" w:firstLine="0"/>
              <w:rPr>
                <w:b w:val="1"/>
              </w:rPr>
            </w:pPr>
            <w:r w:rsidDel="00000000" w:rsidR="00000000" w:rsidRPr="00000000">
              <w:rPr>
                <w:rtl w:val="0"/>
              </w:rPr>
              <w:t xml:space="preserve">Identify specific machines, devices, software, general classes of systems (e.g., Windows 10), teams (SoC Team / Network Team), and individuals (CISO).</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5">
            <w:pPr>
              <w:jc w:val="center"/>
              <w:rPr/>
            </w:pPr>
            <w:r w:rsidDel="00000000" w:rsidR="00000000" w:rsidRPr="00000000">
              <w:rPr>
                <w:rtl w:val="0"/>
              </w:rPr>
              <w:t xml:space="preserve">PID.Meta;</w:t>
            </w:r>
          </w:p>
          <w:p w:rsidR="00000000" w:rsidDel="00000000" w:rsidP="00000000" w:rsidRDefault="00000000" w:rsidRPr="00000000" w14:paraId="000000F6">
            <w:pPr>
              <w:jc w:val="center"/>
              <w:rPr/>
            </w:pPr>
            <w:r w:rsidDel="00000000" w:rsidR="00000000" w:rsidRPr="00000000">
              <w:rPr>
                <w:rtl w:val="0"/>
              </w:rPr>
              <w:t xml:space="preserve">PID.ActModel;</w:t>
            </w:r>
          </w:p>
          <w:p w:rsidR="00000000" w:rsidDel="00000000" w:rsidP="00000000" w:rsidRDefault="00000000" w:rsidRPr="00000000" w14:paraId="000000F7">
            <w:pPr>
              <w:jc w:val="center"/>
              <w:rPr/>
            </w:pPr>
            <w:r w:rsidDel="00000000" w:rsidR="00000000" w:rsidRPr="00000000">
              <w:rPr>
                <w:rtl w:val="0"/>
              </w:rPr>
              <w:t xml:space="preserve">PID.ActDetail</w:t>
            </w:r>
          </w:p>
        </w:tc>
      </w:tr>
    </w:tbl>
    <w:p w:rsidR="00000000" w:rsidDel="00000000" w:rsidP="00000000" w:rsidRDefault="00000000" w:rsidRPr="00000000" w14:paraId="000000F8">
      <w:pPr>
        <w:rPr/>
      </w:pPr>
      <w:r w:rsidDel="00000000" w:rsidR="00000000" w:rsidRPr="00000000">
        <w:rPr>
          <w:rtl w:val="0"/>
        </w:rPr>
      </w:r>
    </w:p>
    <w:p w:rsidR="00000000" w:rsidDel="00000000" w:rsidP="00000000" w:rsidRDefault="00000000" w:rsidRPr="00000000" w14:paraId="000000F9">
      <w:pPr>
        <w:pStyle w:val="Heading2"/>
        <w:rPr/>
      </w:pPr>
      <w:bookmarkStart w:colFirst="0" w:colLast="0" w:name="_hxtvplaevua5" w:id="26"/>
      <w:bookmarkEnd w:id="26"/>
      <w:r w:rsidDel="00000000" w:rsidR="00000000" w:rsidRPr="00000000">
        <w:rPr>
          <w:rtl w:val="0"/>
        </w:rPr>
        <w:t xml:space="preserve">2.7 Testing</w:t>
      </w:r>
    </w:p>
    <w:tbl>
      <w:tblPr>
        <w:tblStyle w:val="Table7"/>
        <w:tblW w:w="9356.007393715343"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36.007393715342"/>
        <w:gridCol w:w="6030"/>
        <w:gridCol w:w="1890"/>
        <w:tblGridChange w:id="0">
          <w:tblGrid>
            <w:gridCol w:w="1436.007393715342"/>
            <w:gridCol w:w="6030"/>
            <w:gridCol w:w="1890"/>
          </w:tblGrid>
        </w:tblGridChange>
      </w:tblGrid>
      <w:tr>
        <w:tc>
          <w:tcPr>
            <w:shd w:fill="c9daf8" w:val="clear"/>
            <w:tcMar>
              <w:top w:w="100.0" w:type="dxa"/>
              <w:left w:w="100.0" w:type="dxa"/>
              <w:bottom w:w="100.0" w:type="dxa"/>
              <w:right w:w="100.0" w:type="dxa"/>
            </w:tcMar>
            <w:vAlign w:val="top"/>
          </w:tcPr>
          <w:p w:rsidR="00000000" w:rsidDel="00000000" w:rsidP="00000000" w:rsidRDefault="00000000" w:rsidRPr="00000000" w14:paraId="000000FA">
            <w:pPr>
              <w:widowControl w:val="0"/>
              <w:spacing w:line="240" w:lineRule="auto"/>
              <w:jc w:val="center"/>
              <w:rPr>
                <w:b w:val="1"/>
              </w:rPr>
            </w:pPr>
            <w:r w:rsidDel="00000000" w:rsidR="00000000" w:rsidRPr="00000000">
              <w:rPr>
                <w:b w:val="1"/>
                <w:rtl w:val="0"/>
              </w:rPr>
              <w:t xml:space="preserve">Requirement</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FB">
            <w:pPr>
              <w:widowControl w:val="0"/>
              <w:spacing w:line="240" w:lineRule="auto"/>
              <w:jc w:val="center"/>
              <w:rPr>
                <w:b w:val="1"/>
              </w:rPr>
            </w:pPr>
            <w:r w:rsidDel="00000000" w:rsidR="00000000" w:rsidRPr="00000000">
              <w:rPr>
                <w:b w:val="1"/>
                <w:rtl w:val="0"/>
              </w:rPr>
              <w:t xml:space="preserve">Details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FC">
            <w:pPr>
              <w:widowControl w:val="0"/>
              <w:spacing w:line="240" w:lineRule="auto"/>
              <w:jc w:val="center"/>
              <w:rPr>
                <w:b w:val="1"/>
              </w:rPr>
            </w:pPr>
            <w:r w:rsidDel="00000000" w:rsidR="00000000" w:rsidRPr="00000000">
              <w:rPr>
                <w:b w:val="1"/>
                <w:rtl w:val="0"/>
              </w:rPr>
              <w:t xml:space="preserve">PID</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FD">
            <w:pPr>
              <w:widowControl w:val="0"/>
              <w:spacing w:line="240" w:lineRule="auto"/>
              <w:jc w:val="center"/>
              <w:rPr/>
            </w:pPr>
            <w:r w:rsidDel="00000000" w:rsidR="00000000" w:rsidRPr="00000000">
              <w:rPr>
                <w:rtl w:val="0"/>
              </w:rPr>
              <w:t xml:space="preserve">TEST.1</w:t>
            </w:r>
          </w:p>
        </w:tc>
        <w:tc>
          <w:tcPr>
            <w:shd w:fill="auto" w:val="clear"/>
            <w:tcMar>
              <w:top w:w="100.0" w:type="dxa"/>
              <w:left w:w="100.0" w:type="dxa"/>
              <w:bottom w:w="100.0" w:type="dxa"/>
              <w:right w:w="100.0" w:type="dxa"/>
            </w:tcMar>
            <w:vAlign w:val="top"/>
          </w:tcPr>
          <w:p w:rsidR="00000000" w:rsidDel="00000000" w:rsidP="00000000" w:rsidRDefault="00000000" w:rsidRPr="00000000" w14:paraId="000000FE">
            <w:pPr>
              <w:rPr>
                <w:b w:val="1"/>
              </w:rPr>
            </w:pPr>
            <w:r w:rsidDel="00000000" w:rsidR="00000000" w:rsidRPr="00000000">
              <w:rPr>
                <w:b w:val="1"/>
                <w:rtl w:val="0"/>
              </w:rPr>
              <w:t xml:space="preserve">Scope</w:t>
            </w:r>
          </w:p>
          <w:p w:rsidR="00000000" w:rsidDel="00000000" w:rsidP="00000000" w:rsidRDefault="00000000" w:rsidRPr="00000000" w14:paraId="000000FF">
            <w:pPr>
              <w:ind w:left="0" w:firstLine="0"/>
              <w:rPr/>
            </w:pPr>
            <w:r w:rsidDel="00000000" w:rsidR="00000000" w:rsidRPr="00000000">
              <w:rPr>
                <w:rtl w:val="0"/>
              </w:rPr>
              <w:t xml:space="preserve">Machine automation</w:t>
            </w:r>
          </w:p>
          <w:p w:rsidR="00000000" w:rsidDel="00000000" w:rsidP="00000000" w:rsidRDefault="00000000" w:rsidRPr="00000000" w14:paraId="00000100">
            <w:pPr>
              <w:ind w:left="0" w:firstLine="0"/>
              <w:rPr/>
            </w:pPr>
            <w:r w:rsidDel="00000000" w:rsidR="00000000" w:rsidRPr="00000000">
              <w:rPr>
                <w:rtl w:val="0"/>
              </w:rPr>
              <w:t xml:space="preserve">Human actions / intervention </w:t>
            </w:r>
          </w:p>
          <w:p w:rsidR="00000000" w:rsidDel="00000000" w:rsidP="00000000" w:rsidRDefault="00000000" w:rsidRPr="00000000" w14:paraId="00000101">
            <w:pPr>
              <w:ind w:left="0" w:firstLine="0"/>
              <w:rPr/>
            </w:pPr>
            <w:r w:rsidDel="00000000" w:rsidR="00000000" w:rsidRPr="00000000">
              <w:rPr>
                <w:rtl w:val="0"/>
              </w:rPr>
              <w:t xml:space="preserve">High level conceptual actions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2">
            <w:pPr>
              <w:jc w:val="center"/>
              <w:rPr/>
            </w:pPr>
            <w:r w:rsidDel="00000000" w:rsidR="00000000" w:rsidRPr="00000000">
              <w:rPr>
                <w:rtl w:val="0"/>
              </w:rPr>
              <w:t xml:space="preserve">PID.Dev;</w:t>
            </w:r>
          </w:p>
          <w:p w:rsidR="00000000" w:rsidDel="00000000" w:rsidP="00000000" w:rsidRDefault="00000000" w:rsidRPr="00000000" w14:paraId="00000103">
            <w:pPr>
              <w:jc w:val="center"/>
              <w:rPr/>
            </w:pPr>
            <w:r w:rsidDel="00000000" w:rsidR="00000000" w:rsidRPr="00000000">
              <w:rPr>
                <w:rtl w:val="0"/>
              </w:rPr>
              <w:t xml:space="preserve">PID.Dep;</w:t>
            </w:r>
          </w:p>
          <w:p w:rsidR="00000000" w:rsidDel="00000000" w:rsidP="00000000" w:rsidRDefault="00000000" w:rsidRPr="00000000" w14:paraId="00000104">
            <w:pPr>
              <w:jc w:val="center"/>
              <w:rPr/>
            </w:pPr>
            <w:r w:rsidDel="00000000" w:rsidR="00000000" w:rsidRPr="00000000">
              <w:rPr>
                <w:rtl w:val="0"/>
              </w:rPr>
              <w:t xml:space="preserve">PID.Meta;</w:t>
            </w:r>
          </w:p>
          <w:p w:rsidR="00000000" w:rsidDel="00000000" w:rsidP="00000000" w:rsidRDefault="00000000" w:rsidRPr="00000000" w14:paraId="00000105">
            <w:pPr>
              <w:jc w:val="center"/>
              <w:rPr/>
            </w:pPr>
            <w:r w:rsidDel="00000000" w:rsidR="00000000" w:rsidRPr="00000000">
              <w:rPr>
                <w:rtl w:val="0"/>
              </w:rPr>
              <w:t xml:space="preserve">PID.ActModel;</w:t>
            </w:r>
          </w:p>
          <w:p w:rsidR="00000000" w:rsidDel="00000000" w:rsidP="00000000" w:rsidRDefault="00000000" w:rsidRPr="00000000" w14:paraId="00000106">
            <w:pPr>
              <w:jc w:val="center"/>
              <w:rPr/>
            </w:pPr>
            <w:r w:rsidDel="00000000" w:rsidR="00000000" w:rsidRPr="00000000">
              <w:rPr>
                <w:rtl w:val="0"/>
              </w:rPr>
              <w:t xml:space="preserve">PID.ActDetail</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07">
            <w:pPr>
              <w:widowControl w:val="0"/>
              <w:spacing w:line="240" w:lineRule="auto"/>
              <w:jc w:val="center"/>
              <w:rPr/>
            </w:pPr>
            <w:r w:rsidDel="00000000" w:rsidR="00000000" w:rsidRPr="00000000">
              <w:rPr>
                <w:rtl w:val="0"/>
              </w:rPr>
              <w:t xml:space="preserve">TEST.2</w:t>
            </w:r>
          </w:p>
        </w:tc>
        <w:tc>
          <w:tcPr>
            <w:shd w:fill="auto" w:val="clear"/>
            <w:tcMar>
              <w:top w:w="100.0" w:type="dxa"/>
              <w:left w:w="100.0" w:type="dxa"/>
              <w:bottom w:w="100.0" w:type="dxa"/>
              <w:right w:w="100.0" w:type="dxa"/>
            </w:tcMar>
            <w:vAlign w:val="top"/>
          </w:tcPr>
          <w:p w:rsidR="00000000" w:rsidDel="00000000" w:rsidP="00000000" w:rsidRDefault="00000000" w:rsidRPr="00000000" w14:paraId="00000108">
            <w:pPr>
              <w:rPr>
                <w:b w:val="1"/>
              </w:rPr>
            </w:pPr>
            <w:r w:rsidDel="00000000" w:rsidR="00000000" w:rsidRPr="00000000">
              <w:rPr>
                <w:b w:val="1"/>
                <w:rtl w:val="0"/>
              </w:rPr>
              <w:t xml:space="preserve">Dry-Run Capabilities</w:t>
            </w:r>
          </w:p>
          <w:p w:rsidR="00000000" w:rsidDel="00000000" w:rsidP="00000000" w:rsidRDefault="00000000" w:rsidRPr="00000000" w14:paraId="00000109">
            <w:pPr>
              <w:ind w:left="0" w:firstLine="0"/>
              <w:rPr>
                <w:b w:val="1"/>
              </w:rPr>
            </w:pPr>
            <w:r w:rsidDel="00000000" w:rsidR="00000000" w:rsidRPr="00000000">
              <w:rPr>
                <w:rtl w:val="0"/>
              </w:rPr>
              <w:t xml:space="preserve">Including what-if deployments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A">
            <w:pPr>
              <w:jc w:val="center"/>
              <w:rPr/>
            </w:pPr>
            <w:r w:rsidDel="00000000" w:rsidR="00000000" w:rsidRPr="00000000">
              <w:rPr>
                <w:rtl w:val="0"/>
              </w:rPr>
              <w:t xml:space="preserve">PID.Dev;</w:t>
            </w:r>
          </w:p>
          <w:p w:rsidR="00000000" w:rsidDel="00000000" w:rsidP="00000000" w:rsidRDefault="00000000" w:rsidRPr="00000000" w14:paraId="0000010B">
            <w:pPr>
              <w:jc w:val="center"/>
              <w:rPr/>
            </w:pPr>
            <w:r w:rsidDel="00000000" w:rsidR="00000000" w:rsidRPr="00000000">
              <w:rPr>
                <w:rtl w:val="0"/>
              </w:rPr>
              <w:t xml:space="preserve">PID.Dep;</w:t>
            </w:r>
          </w:p>
          <w:p w:rsidR="00000000" w:rsidDel="00000000" w:rsidP="00000000" w:rsidRDefault="00000000" w:rsidRPr="00000000" w14:paraId="0000010C">
            <w:pPr>
              <w:jc w:val="center"/>
              <w:rPr/>
            </w:pPr>
            <w:r w:rsidDel="00000000" w:rsidR="00000000" w:rsidRPr="00000000">
              <w:rPr>
                <w:rtl w:val="0"/>
              </w:rPr>
              <w:t xml:space="preserve">PID.Meta;</w:t>
            </w:r>
          </w:p>
          <w:p w:rsidR="00000000" w:rsidDel="00000000" w:rsidP="00000000" w:rsidRDefault="00000000" w:rsidRPr="00000000" w14:paraId="0000010D">
            <w:pPr>
              <w:jc w:val="center"/>
              <w:rPr/>
            </w:pPr>
            <w:r w:rsidDel="00000000" w:rsidR="00000000" w:rsidRPr="00000000">
              <w:rPr>
                <w:rtl w:val="0"/>
              </w:rPr>
              <w:t xml:space="preserve">PID.ActModel;</w:t>
            </w:r>
          </w:p>
          <w:p w:rsidR="00000000" w:rsidDel="00000000" w:rsidP="00000000" w:rsidRDefault="00000000" w:rsidRPr="00000000" w14:paraId="0000010E">
            <w:pPr>
              <w:jc w:val="center"/>
              <w:rPr/>
            </w:pPr>
            <w:r w:rsidDel="00000000" w:rsidR="00000000" w:rsidRPr="00000000">
              <w:rPr>
                <w:rtl w:val="0"/>
              </w:rPr>
              <w:t xml:space="preserve">PID.ActDetail</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0F">
            <w:pPr>
              <w:widowControl w:val="0"/>
              <w:spacing w:line="240" w:lineRule="auto"/>
              <w:jc w:val="center"/>
              <w:rPr/>
            </w:pPr>
            <w:r w:rsidDel="00000000" w:rsidR="00000000" w:rsidRPr="00000000">
              <w:rPr>
                <w:rtl w:val="0"/>
              </w:rPr>
              <w:t xml:space="preserve">TEST.3</w:t>
            </w:r>
          </w:p>
        </w:tc>
        <w:tc>
          <w:tcPr>
            <w:shd w:fill="auto" w:val="clear"/>
            <w:tcMar>
              <w:top w:w="100.0" w:type="dxa"/>
              <w:left w:w="100.0" w:type="dxa"/>
              <w:bottom w:w="100.0" w:type="dxa"/>
              <w:right w:w="100.0" w:type="dxa"/>
            </w:tcMar>
            <w:vAlign w:val="top"/>
          </w:tcPr>
          <w:p w:rsidR="00000000" w:rsidDel="00000000" w:rsidP="00000000" w:rsidRDefault="00000000" w:rsidRPr="00000000" w14:paraId="00000110">
            <w:pPr>
              <w:rPr>
                <w:b w:val="1"/>
              </w:rPr>
            </w:pPr>
            <w:r w:rsidDel="00000000" w:rsidR="00000000" w:rsidRPr="00000000">
              <w:rPr>
                <w:b w:val="1"/>
                <w:rtl w:val="0"/>
              </w:rPr>
              <w:t xml:space="preserve">Playbook Validation Before Deployment</w:t>
            </w:r>
          </w:p>
          <w:p w:rsidR="00000000" w:rsidDel="00000000" w:rsidP="00000000" w:rsidRDefault="00000000" w:rsidRPr="00000000" w14:paraId="00000111">
            <w:pPr>
              <w:rPr/>
            </w:pPr>
            <w:r w:rsidDel="00000000" w:rsidR="00000000" w:rsidRPr="00000000">
              <w:rPr>
                <w:rtl w:val="0"/>
              </w:rPr>
              <w:t xml:space="preserve">Ability to validate that a playbook is correctly formed syntactically and semantically would execute without significant failures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12">
            <w:pPr>
              <w:jc w:val="center"/>
              <w:rPr/>
            </w:pPr>
            <w:r w:rsidDel="00000000" w:rsidR="00000000" w:rsidRPr="00000000">
              <w:rPr>
                <w:rtl w:val="0"/>
              </w:rPr>
              <w:t xml:space="preserve">PID.Dev;</w:t>
            </w:r>
          </w:p>
          <w:p w:rsidR="00000000" w:rsidDel="00000000" w:rsidP="00000000" w:rsidRDefault="00000000" w:rsidRPr="00000000" w14:paraId="00000113">
            <w:pPr>
              <w:jc w:val="center"/>
              <w:rPr/>
            </w:pPr>
            <w:r w:rsidDel="00000000" w:rsidR="00000000" w:rsidRPr="00000000">
              <w:rPr>
                <w:rtl w:val="0"/>
              </w:rPr>
              <w:t xml:space="preserve">PID.Dep</w:t>
            </w:r>
          </w:p>
          <w:p w:rsidR="00000000" w:rsidDel="00000000" w:rsidP="00000000" w:rsidRDefault="00000000" w:rsidRPr="00000000" w14:paraId="00000114">
            <w:pPr>
              <w:jc w:val="center"/>
              <w:rPr/>
            </w:pPr>
            <w:r w:rsidDel="00000000" w:rsidR="00000000" w:rsidRPr="00000000">
              <w:rPr>
                <w:rtl w:val="0"/>
              </w:rPr>
              <w:t xml:space="preserve">PID.Struct</w:t>
            </w:r>
          </w:p>
          <w:p w:rsidR="00000000" w:rsidDel="00000000" w:rsidP="00000000" w:rsidRDefault="00000000" w:rsidRPr="00000000" w14:paraId="00000115">
            <w:pPr>
              <w:jc w:val="center"/>
              <w:rPr/>
            </w:pPr>
            <w:r w:rsidDel="00000000" w:rsidR="00000000" w:rsidRPr="00000000">
              <w:rPr>
                <w:rtl w:val="0"/>
              </w:rPr>
              <w:t xml:space="preserve">PID.ActModel</w:t>
            </w:r>
          </w:p>
          <w:p w:rsidR="00000000" w:rsidDel="00000000" w:rsidP="00000000" w:rsidRDefault="00000000" w:rsidRPr="00000000" w14:paraId="00000116">
            <w:pPr>
              <w:jc w:val="center"/>
              <w:rPr/>
            </w:pPr>
            <w:r w:rsidDel="00000000" w:rsidR="00000000" w:rsidRPr="00000000">
              <w:rPr>
                <w:rtl w:val="0"/>
              </w:rPr>
              <w:t xml:space="preserve">PID.ActDetail</w:t>
            </w:r>
          </w:p>
        </w:tc>
      </w:tr>
    </w:tbl>
    <w:p w:rsidR="00000000" w:rsidDel="00000000" w:rsidP="00000000" w:rsidRDefault="00000000" w:rsidRPr="00000000" w14:paraId="00000117">
      <w:pPr>
        <w:rPr/>
      </w:pPr>
      <w:r w:rsidDel="00000000" w:rsidR="00000000" w:rsidRPr="00000000">
        <w:rPr>
          <w:rtl w:val="0"/>
        </w:rPr>
      </w:r>
    </w:p>
    <w:p w:rsidR="00000000" w:rsidDel="00000000" w:rsidP="00000000" w:rsidRDefault="00000000" w:rsidRPr="00000000" w14:paraId="00000118">
      <w:pPr>
        <w:pStyle w:val="Heading2"/>
        <w:rPr/>
      </w:pPr>
      <w:bookmarkStart w:colFirst="0" w:colLast="0" w:name="_uz9ubacfcrfh" w:id="27"/>
      <w:bookmarkEnd w:id="27"/>
      <w:r w:rsidDel="00000000" w:rsidR="00000000" w:rsidRPr="00000000">
        <w:rPr>
          <w:rtl w:val="0"/>
        </w:rPr>
        <w:t xml:space="preserve">2.8 Reporting</w:t>
      </w:r>
    </w:p>
    <w:tbl>
      <w:tblPr>
        <w:tblStyle w:val="Table8"/>
        <w:tblW w:w="9356.007393715343"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36.007393715342"/>
        <w:gridCol w:w="5970"/>
        <w:gridCol w:w="1950"/>
        <w:tblGridChange w:id="0">
          <w:tblGrid>
            <w:gridCol w:w="1436.007393715342"/>
            <w:gridCol w:w="5970"/>
            <w:gridCol w:w="1950"/>
          </w:tblGrid>
        </w:tblGridChange>
      </w:tblGrid>
      <w:tr>
        <w:tc>
          <w:tcPr>
            <w:shd w:fill="c9daf8" w:val="clear"/>
            <w:tcMar>
              <w:top w:w="100.0" w:type="dxa"/>
              <w:left w:w="100.0" w:type="dxa"/>
              <w:bottom w:w="100.0" w:type="dxa"/>
              <w:right w:w="100.0" w:type="dxa"/>
            </w:tcMar>
            <w:vAlign w:val="top"/>
          </w:tcPr>
          <w:p w:rsidR="00000000" w:rsidDel="00000000" w:rsidP="00000000" w:rsidRDefault="00000000" w:rsidRPr="00000000" w14:paraId="00000119">
            <w:pPr>
              <w:widowControl w:val="0"/>
              <w:spacing w:line="240" w:lineRule="auto"/>
              <w:jc w:val="center"/>
              <w:rPr>
                <w:b w:val="1"/>
              </w:rPr>
            </w:pPr>
            <w:r w:rsidDel="00000000" w:rsidR="00000000" w:rsidRPr="00000000">
              <w:rPr>
                <w:b w:val="1"/>
                <w:rtl w:val="0"/>
              </w:rPr>
              <w:t xml:space="preserve">Requirement</w:t>
            </w:r>
          </w:p>
        </w:tc>
        <w:tc>
          <w:tcPr>
            <w:shd w:fill="c9daf8" w:val="clear"/>
            <w:tcMar>
              <w:top w:w="100.0" w:type="dxa"/>
              <w:left w:w="100.0" w:type="dxa"/>
              <w:bottom w:w="100.0" w:type="dxa"/>
              <w:right w:w="100.0" w:type="dxa"/>
            </w:tcMar>
            <w:vAlign w:val="top"/>
          </w:tcPr>
          <w:p w:rsidR="00000000" w:rsidDel="00000000" w:rsidP="00000000" w:rsidRDefault="00000000" w:rsidRPr="00000000" w14:paraId="0000011A">
            <w:pPr>
              <w:widowControl w:val="0"/>
              <w:spacing w:line="240" w:lineRule="auto"/>
              <w:jc w:val="center"/>
              <w:rPr>
                <w:b w:val="1"/>
              </w:rPr>
            </w:pPr>
            <w:r w:rsidDel="00000000" w:rsidR="00000000" w:rsidRPr="00000000">
              <w:rPr>
                <w:b w:val="1"/>
                <w:rtl w:val="0"/>
              </w:rPr>
              <w:t xml:space="preserve">Details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11B">
            <w:pPr>
              <w:widowControl w:val="0"/>
              <w:spacing w:line="240" w:lineRule="auto"/>
              <w:jc w:val="center"/>
              <w:rPr>
                <w:b w:val="1"/>
              </w:rPr>
            </w:pPr>
            <w:r w:rsidDel="00000000" w:rsidR="00000000" w:rsidRPr="00000000">
              <w:rPr>
                <w:b w:val="1"/>
                <w:rtl w:val="0"/>
              </w:rPr>
              <w:t xml:space="preserve">PID</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1C">
            <w:pPr>
              <w:widowControl w:val="0"/>
              <w:spacing w:line="240" w:lineRule="auto"/>
              <w:jc w:val="center"/>
              <w:rPr/>
            </w:pPr>
            <w:r w:rsidDel="00000000" w:rsidR="00000000" w:rsidRPr="00000000">
              <w:rPr>
                <w:rtl w:val="0"/>
              </w:rPr>
              <w:t xml:space="preserve">REPORT.1</w:t>
            </w:r>
          </w:p>
        </w:tc>
        <w:tc>
          <w:tcPr>
            <w:shd w:fill="auto" w:val="clear"/>
            <w:tcMar>
              <w:top w:w="100.0" w:type="dxa"/>
              <w:left w:w="100.0" w:type="dxa"/>
              <w:bottom w:w="100.0" w:type="dxa"/>
              <w:right w:w="100.0" w:type="dxa"/>
            </w:tcMar>
            <w:vAlign w:val="top"/>
          </w:tcPr>
          <w:p w:rsidR="00000000" w:rsidDel="00000000" w:rsidP="00000000" w:rsidRDefault="00000000" w:rsidRPr="00000000" w14:paraId="0000011D">
            <w:pPr>
              <w:ind w:left="0" w:firstLine="0"/>
              <w:rPr>
                <w:b w:val="1"/>
              </w:rPr>
            </w:pPr>
            <w:r w:rsidDel="00000000" w:rsidR="00000000" w:rsidRPr="00000000">
              <w:rPr>
                <w:b w:val="1"/>
                <w:rtl w:val="0"/>
              </w:rPr>
              <w:t xml:space="preserve">General Reporting</w:t>
            </w:r>
          </w:p>
          <w:p w:rsidR="00000000" w:rsidDel="00000000" w:rsidP="00000000" w:rsidRDefault="00000000" w:rsidRPr="00000000" w14:paraId="0000011E">
            <w:pPr>
              <w:ind w:left="0" w:firstLine="0"/>
              <w:rPr/>
            </w:pPr>
            <w:r w:rsidDel="00000000" w:rsidR="00000000" w:rsidRPr="00000000">
              <w:rPr>
                <w:rtl w:val="0"/>
              </w:rPr>
              <w:t xml:space="preserve">Provide full reporting on the processing of each action including supporting the needs for mandatory reporting requirements.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1F">
            <w:pPr>
              <w:ind w:left="0" w:firstLine="0"/>
              <w:jc w:val="center"/>
              <w:rPr/>
            </w:pPr>
            <w:r w:rsidDel="00000000" w:rsidR="00000000" w:rsidRPr="00000000">
              <w:rPr>
                <w:rtl w:val="0"/>
              </w:rPr>
              <w:t xml:space="preserve">PID.Dep</w:t>
            </w:r>
          </w:p>
          <w:p w:rsidR="00000000" w:rsidDel="00000000" w:rsidP="00000000" w:rsidRDefault="00000000" w:rsidRPr="00000000" w14:paraId="00000120">
            <w:pPr>
              <w:ind w:left="0" w:firstLine="0"/>
              <w:jc w:val="center"/>
              <w:rPr/>
            </w:pPr>
            <w:r w:rsidDel="00000000" w:rsidR="00000000" w:rsidRPr="00000000">
              <w:rPr>
                <w:rtl w:val="0"/>
              </w:rPr>
              <w:t xml:space="preserve">PID.Meta</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21">
            <w:pPr>
              <w:widowControl w:val="0"/>
              <w:spacing w:line="240" w:lineRule="auto"/>
              <w:jc w:val="center"/>
              <w:rPr/>
            </w:pPr>
            <w:r w:rsidDel="00000000" w:rsidR="00000000" w:rsidRPr="00000000">
              <w:rPr>
                <w:rtl w:val="0"/>
              </w:rPr>
              <w:t xml:space="preserve">REPORT.2</w:t>
            </w:r>
          </w:p>
        </w:tc>
        <w:tc>
          <w:tcPr>
            <w:shd w:fill="auto" w:val="clear"/>
            <w:tcMar>
              <w:top w:w="100.0" w:type="dxa"/>
              <w:left w:w="100.0" w:type="dxa"/>
              <w:bottom w:w="100.0" w:type="dxa"/>
              <w:right w:w="100.0" w:type="dxa"/>
            </w:tcMar>
            <w:vAlign w:val="top"/>
          </w:tcPr>
          <w:p w:rsidR="00000000" w:rsidDel="00000000" w:rsidP="00000000" w:rsidRDefault="00000000" w:rsidRPr="00000000" w14:paraId="00000122">
            <w:pPr>
              <w:rPr>
                <w:b w:val="1"/>
              </w:rPr>
            </w:pPr>
            <w:r w:rsidDel="00000000" w:rsidR="00000000" w:rsidRPr="00000000">
              <w:rPr>
                <w:b w:val="1"/>
                <w:rtl w:val="0"/>
              </w:rPr>
              <w:t xml:space="preserve">Auditing</w:t>
            </w:r>
          </w:p>
          <w:p w:rsidR="00000000" w:rsidDel="00000000" w:rsidP="00000000" w:rsidRDefault="00000000" w:rsidRPr="00000000" w14:paraId="00000123">
            <w:pPr>
              <w:rPr/>
            </w:pPr>
            <w:r w:rsidDel="00000000" w:rsidR="00000000" w:rsidRPr="00000000">
              <w:rPr>
                <w:rtl w:val="0"/>
              </w:rPr>
              <w:t xml:space="preserve">Must have a timestamp and information regarding the original request or rule that caused the event for full auditing capabilities.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4">
            <w:pPr>
              <w:jc w:val="center"/>
              <w:rPr/>
            </w:pPr>
            <w:r w:rsidDel="00000000" w:rsidR="00000000" w:rsidRPr="00000000">
              <w:rPr>
                <w:rtl w:val="0"/>
              </w:rPr>
              <w:t xml:space="preserve">PID.Dep</w:t>
            </w:r>
          </w:p>
          <w:p w:rsidR="00000000" w:rsidDel="00000000" w:rsidP="00000000" w:rsidRDefault="00000000" w:rsidRPr="00000000" w14:paraId="00000125">
            <w:pPr>
              <w:jc w:val="center"/>
              <w:rPr/>
            </w:pPr>
            <w:r w:rsidDel="00000000" w:rsidR="00000000" w:rsidRPr="00000000">
              <w:rPr>
                <w:rtl w:val="0"/>
              </w:rPr>
              <w:t xml:space="preserve">PID.Meta</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26">
            <w:pPr>
              <w:widowControl w:val="0"/>
              <w:spacing w:line="240" w:lineRule="auto"/>
              <w:jc w:val="center"/>
              <w:rPr/>
            </w:pPr>
            <w:r w:rsidDel="00000000" w:rsidR="00000000" w:rsidRPr="00000000">
              <w:rPr>
                <w:rtl w:val="0"/>
              </w:rPr>
              <w:t xml:space="preserve">REPORT.3</w:t>
            </w:r>
          </w:p>
        </w:tc>
        <w:tc>
          <w:tcPr>
            <w:shd w:fill="auto" w:val="clear"/>
            <w:tcMar>
              <w:top w:w="100.0" w:type="dxa"/>
              <w:left w:w="100.0" w:type="dxa"/>
              <w:bottom w:w="100.0" w:type="dxa"/>
              <w:right w:w="100.0" w:type="dxa"/>
            </w:tcMar>
            <w:vAlign w:val="top"/>
          </w:tcPr>
          <w:p w:rsidR="00000000" w:rsidDel="00000000" w:rsidP="00000000" w:rsidRDefault="00000000" w:rsidRPr="00000000" w14:paraId="00000127">
            <w:pPr>
              <w:rPr>
                <w:b w:val="1"/>
              </w:rPr>
            </w:pPr>
            <w:r w:rsidDel="00000000" w:rsidR="00000000" w:rsidRPr="00000000">
              <w:rPr>
                <w:b w:val="1"/>
                <w:rtl w:val="0"/>
              </w:rPr>
              <w:t xml:space="preserve">Report Delivery</w:t>
            </w:r>
          </w:p>
          <w:p w:rsidR="00000000" w:rsidDel="00000000" w:rsidP="00000000" w:rsidRDefault="00000000" w:rsidRPr="00000000" w14:paraId="00000128">
            <w:pPr>
              <w:rPr/>
            </w:pPr>
            <w:r w:rsidDel="00000000" w:rsidR="00000000" w:rsidRPr="00000000">
              <w:rPr>
                <w:rtl w:val="0"/>
              </w:rPr>
              <w:t xml:space="preserve">Could be either synchronously requested or an asynchronous event (syslog) with periodic updates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9">
            <w:pPr>
              <w:jc w:val="center"/>
              <w:rPr/>
            </w:pPr>
            <w:r w:rsidDel="00000000" w:rsidR="00000000" w:rsidRPr="00000000">
              <w:rPr>
                <w:rtl w:val="0"/>
              </w:rPr>
              <w:t xml:space="preserve">PID.Dep</w:t>
            </w:r>
          </w:p>
          <w:p w:rsidR="00000000" w:rsidDel="00000000" w:rsidP="00000000" w:rsidRDefault="00000000" w:rsidRPr="00000000" w14:paraId="0000012A">
            <w:pPr>
              <w:jc w:val="center"/>
              <w:rPr/>
            </w:pPr>
            <w:r w:rsidDel="00000000" w:rsidR="00000000" w:rsidRPr="00000000">
              <w:rPr>
                <w:rtl w:val="0"/>
              </w:rPr>
              <w:t xml:space="preserve">PID.Struct</w:t>
            </w:r>
          </w:p>
        </w:tc>
      </w:tr>
    </w:tbl>
    <w:p w:rsidR="00000000" w:rsidDel="00000000" w:rsidP="00000000" w:rsidRDefault="00000000" w:rsidRPr="00000000" w14:paraId="0000012B">
      <w:pPr>
        <w:rPr/>
      </w:pPr>
      <w:r w:rsidDel="00000000" w:rsidR="00000000" w:rsidRPr="00000000">
        <w:rPr>
          <w:rtl w:val="0"/>
        </w:rPr>
      </w:r>
    </w:p>
    <w:p w:rsidR="00000000" w:rsidDel="00000000" w:rsidP="00000000" w:rsidRDefault="00000000" w:rsidRPr="00000000" w14:paraId="0000012C">
      <w:pPr>
        <w:pStyle w:val="Heading2"/>
        <w:rPr/>
      </w:pPr>
      <w:bookmarkStart w:colFirst="0" w:colLast="0" w:name="_dxejz2654e5e" w:id="28"/>
      <w:bookmarkEnd w:id="28"/>
      <w:r w:rsidDel="00000000" w:rsidR="00000000" w:rsidRPr="00000000">
        <w:rPr>
          <w:rtl w:val="0"/>
        </w:rPr>
        <w:t xml:space="preserve">2.9 Signatures</w:t>
      </w:r>
    </w:p>
    <w:tbl>
      <w:tblPr>
        <w:tblStyle w:val="Table9"/>
        <w:tblW w:w="9356.007393715343"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36.007393715342"/>
        <w:gridCol w:w="5850"/>
        <w:gridCol w:w="2070"/>
        <w:tblGridChange w:id="0">
          <w:tblGrid>
            <w:gridCol w:w="1436.007393715342"/>
            <w:gridCol w:w="5850"/>
            <w:gridCol w:w="2070"/>
          </w:tblGrid>
        </w:tblGridChange>
      </w:tblGrid>
      <w:tr>
        <w:tc>
          <w:tcPr>
            <w:shd w:fill="c9daf8" w:val="clear"/>
            <w:tcMar>
              <w:top w:w="100.0" w:type="dxa"/>
              <w:left w:w="100.0" w:type="dxa"/>
              <w:bottom w:w="100.0" w:type="dxa"/>
              <w:right w:w="100.0" w:type="dxa"/>
            </w:tcMar>
            <w:vAlign w:val="top"/>
          </w:tcPr>
          <w:p w:rsidR="00000000" w:rsidDel="00000000" w:rsidP="00000000" w:rsidRDefault="00000000" w:rsidRPr="00000000" w14:paraId="0000012D">
            <w:pPr>
              <w:widowControl w:val="0"/>
              <w:spacing w:line="240" w:lineRule="auto"/>
              <w:jc w:val="center"/>
              <w:rPr>
                <w:b w:val="1"/>
              </w:rPr>
            </w:pPr>
            <w:r w:rsidDel="00000000" w:rsidR="00000000" w:rsidRPr="00000000">
              <w:rPr>
                <w:b w:val="1"/>
                <w:rtl w:val="0"/>
              </w:rPr>
              <w:t xml:space="preserve">Requirement</w:t>
            </w:r>
          </w:p>
        </w:tc>
        <w:tc>
          <w:tcPr>
            <w:shd w:fill="c9daf8" w:val="clear"/>
            <w:tcMar>
              <w:top w:w="100.0" w:type="dxa"/>
              <w:left w:w="100.0" w:type="dxa"/>
              <w:bottom w:w="100.0" w:type="dxa"/>
              <w:right w:w="100.0" w:type="dxa"/>
            </w:tcMar>
            <w:vAlign w:val="top"/>
          </w:tcPr>
          <w:p w:rsidR="00000000" w:rsidDel="00000000" w:rsidP="00000000" w:rsidRDefault="00000000" w:rsidRPr="00000000" w14:paraId="0000012E">
            <w:pPr>
              <w:widowControl w:val="0"/>
              <w:spacing w:line="240" w:lineRule="auto"/>
              <w:jc w:val="center"/>
              <w:rPr>
                <w:b w:val="1"/>
              </w:rPr>
            </w:pPr>
            <w:r w:rsidDel="00000000" w:rsidR="00000000" w:rsidRPr="00000000">
              <w:rPr>
                <w:b w:val="1"/>
                <w:rtl w:val="0"/>
              </w:rPr>
              <w:t xml:space="preserve">Details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12F">
            <w:pPr>
              <w:widowControl w:val="0"/>
              <w:spacing w:line="240" w:lineRule="auto"/>
              <w:jc w:val="center"/>
              <w:rPr>
                <w:b w:val="1"/>
              </w:rPr>
            </w:pPr>
            <w:r w:rsidDel="00000000" w:rsidR="00000000" w:rsidRPr="00000000">
              <w:rPr>
                <w:b w:val="1"/>
                <w:rtl w:val="0"/>
              </w:rPr>
              <w:t xml:space="preserve">PID</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30">
            <w:pPr>
              <w:widowControl w:val="0"/>
              <w:spacing w:line="240" w:lineRule="auto"/>
              <w:jc w:val="center"/>
              <w:rPr/>
            </w:pPr>
            <w:r w:rsidDel="00000000" w:rsidR="00000000" w:rsidRPr="00000000">
              <w:rPr>
                <w:rtl w:val="0"/>
              </w:rPr>
              <w:t xml:space="preserve">SIG.1</w:t>
            </w:r>
          </w:p>
        </w:tc>
        <w:tc>
          <w:tcPr>
            <w:shd w:fill="auto" w:val="clear"/>
            <w:tcMar>
              <w:top w:w="100.0" w:type="dxa"/>
              <w:left w:w="100.0" w:type="dxa"/>
              <w:bottom w:w="100.0" w:type="dxa"/>
              <w:right w:w="100.0" w:type="dxa"/>
            </w:tcMar>
            <w:vAlign w:val="top"/>
          </w:tcPr>
          <w:p w:rsidR="00000000" w:rsidDel="00000000" w:rsidP="00000000" w:rsidRDefault="00000000" w:rsidRPr="00000000" w14:paraId="00000131">
            <w:pPr>
              <w:rPr>
                <w:b w:val="1"/>
              </w:rPr>
            </w:pPr>
            <w:r w:rsidDel="00000000" w:rsidR="00000000" w:rsidRPr="00000000">
              <w:rPr>
                <w:b w:val="1"/>
                <w:rtl w:val="0"/>
              </w:rPr>
              <w:t xml:space="preserve">Basic Digital Signatures</w:t>
            </w:r>
          </w:p>
          <w:p w:rsidR="00000000" w:rsidDel="00000000" w:rsidP="00000000" w:rsidRDefault="00000000" w:rsidRPr="00000000" w14:paraId="00000132">
            <w:pPr>
              <w:rPr/>
            </w:pPr>
            <w:r w:rsidDel="00000000" w:rsidR="00000000" w:rsidRPr="00000000">
              <w:rPr>
                <w:rtl w:val="0"/>
              </w:rPr>
              <w:t xml:space="preserve">Ability to digitally sign playbooks and their various parts and even sub parts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33">
            <w:pPr>
              <w:jc w:val="center"/>
              <w:rPr/>
            </w:pPr>
            <w:r w:rsidDel="00000000" w:rsidR="00000000" w:rsidRPr="00000000">
              <w:rPr>
                <w:rtl w:val="0"/>
              </w:rPr>
              <w:t xml:space="preserve">PID.Meta</w:t>
            </w:r>
          </w:p>
          <w:p w:rsidR="00000000" w:rsidDel="00000000" w:rsidP="00000000" w:rsidRDefault="00000000" w:rsidRPr="00000000" w14:paraId="00000134">
            <w:pPr>
              <w:jc w:val="center"/>
              <w:rPr/>
            </w:pPr>
            <w:r w:rsidDel="00000000" w:rsidR="00000000" w:rsidRPr="00000000">
              <w:rPr>
                <w:rtl w:val="0"/>
              </w:rPr>
              <w:t xml:space="preserve">PID.Struct</w:t>
            </w:r>
          </w:p>
          <w:p w:rsidR="00000000" w:rsidDel="00000000" w:rsidP="00000000" w:rsidRDefault="00000000" w:rsidRPr="00000000" w14:paraId="00000135">
            <w:pPr>
              <w:jc w:val="center"/>
              <w:rPr/>
            </w:pPr>
            <w:r w:rsidDel="00000000" w:rsidR="00000000" w:rsidRPr="00000000">
              <w:rPr>
                <w:rtl w:val="0"/>
              </w:rPr>
              <w:t xml:space="preserve">PID.ActModel</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36">
            <w:pPr>
              <w:widowControl w:val="0"/>
              <w:spacing w:line="240" w:lineRule="auto"/>
              <w:jc w:val="center"/>
              <w:rPr/>
            </w:pPr>
            <w:r w:rsidDel="00000000" w:rsidR="00000000" w:rsidRPr="00000000">
              <w:rPr>
                <w:rtl w:val="0"/>
              </w:rPr>
              <w:t xml:space="preserve">SIG.2</w:t>
            </w:r>
          </w:p>
        </w:tc>
        <w:tc>
          <w:tcPr>
            <w:shd w:fill="auto" w:val="clear"/>
            <w:tcMar>
              <w:top w:w="100.0" w:type="dxa"/>
              <w:left w:w="100.0" w:type="dxa"/>
              <w:bottom w:w="100.0" w:type="dxa"/>
              <w:right w:w="100.0" w:type="dxa"/>
            </w:tcMar>
            <w:vAlign w:val="top"/>
          </w:tcPr>
          <w:p w:rsidR="00000000" w:rsidDel="00000000" w:rsidP="00000000" w:rsidRDefault="00000000" w:rsidRPr="00000000" w14:paraId="00000137">
            <w:pPr>
              <w:rPr>
                <w:b w:val="1"/>
              </w:rPr>
            </w:pPr>
            <w:r w:rsidDel="00000000" w:rsidR="00000000" w:rsidRPr="00000000">
              <w:rPr>
                <w:b w:val="1"/>
                <w:rtl w:val="0"/>
              </w:rPr>
              <w:t xml:space="preserve">Layered / Multiple Signatures</w:t>
            </w:r>
          </w:p>
          <w:p w:rsidR="00000000" w:rsidDel="00000000" w:rsidP="00000000" w:rsidRDefault="00000000" w:rsidRPr="00000000" w14:paraId="00000138">
            <w:pPr>
              <w:rPr/>
            </w:pPr>
            <w:r w:rsidDel="00000000" w:rsidR="00000000" w:rsidRPr="00000000">
              <w:rPr>
                <w:rtl w:val="0"/>
              </w:rPr>
              <w:t xml:space="preserve">Ability to support multiple digital signatures of the same thing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139">
            <w:pPr>
              <w:jc w:val="center"/>
              <w:rPr/>
            </w:pPr>
            <w:r w:rsidDel="00000000" w:rsidR="00000000" w:rsidRPr="00000000">
              <w:rPr>
                <w:rtl w:val="0"/>
              </w:rPr>
              <w:t xml:space="preserve">PID.Meta</w:t>
            </w:r>
          </w:p>
          <w:p w:rsidR="00000000" w:rsidDel="00000000" w:rsidP="00000000" w:rsidRDefault="00000000" w:rsidRPr="00000000" w14:paraId="0000013A">
            <w:pPr>
              <w:jc w:val="center"/>
              <w:rPr/>
            </w:pPr>
            <w:r w:rsidDel="00000000" w:rsidR="00000000" w:rsidRPr="00000000">
              <w:rPr>
                <w:rtl w:val="0"/>
              </w:rPr>
              <w:t xml:space="preserve">PID.Struct</w:t>
            </w:r>
          </w:p>
          <w:p w:rsidR="00000000" w:rsidDel="00000000" w:rsidP="00000000" w:rsidRDefault="00000000" w:rsidRPr="00000000" w14:paraId="0000013B">
            <w:pPr>
              <w:jc w:val="center"/>
              <w:rPr/>
            </w:pPr>
            <w:r w:rsidDel="00000000" w:rsidR="00000000" w:rsidRPr="00000000">
              <w:rPr>
                <w:rtl w:val="0"/>
              </w:rPr>
              <w:t xml:space="preserve">PID.ActModel</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3C">
            <w:pPr>
              <w:widowControl w:val="0"/>
              <w:spacing w:line="240" w:lineRule="auto"/>
              <w:jc w:val="center"/>
              <w:rPr/>
            </w:pPr>
            <w:r w:rsidDel="00000000" w:rsidR="00000000" w:rsidRPr="00000000">
              <w:rPr>
                <w:rtl w:val="0"/>
              </w:rPr>
              <w:t xml:space="preserve">SIG.3</w:t>
            </w:r>
          </w:p>
        </w:tc>
        <w:tc>
          <w:tcPr>
            <w:shd w:fill="auto" w:val="clear"/>
            <w:tcMar>
              <w:top w:w="100.0" w:type="dxa"/>
              <w:left w:w="100.0" w:type="dxa"/>
              <w:bottom w:w="100.0" w:type="dxa"/>
              <w:right w:w="100.0" w:type="dxa"/>
            </w:tcMar>
            <w:vAlign w:val="top"/>
          </w:tcPr>
          <w:p w:rsidR="00000000" w:rsidDel="00000000" w:rsidP="00000000" w:rsidRDefault="00000000" w:rsidRPr="00000000" w14:paraId="0000013D">
            <w:pPr>
              <w:rPr>
                <w:b w:val="1"/>
              </w:rPr>
            </w:pPr>
            <w:r w:rsidDel="00000000" w:rsidR="00000000" w:rsidRPr="00000000">
              <w:rPr>
                <w:b w:val="1"/>
                <w:rtl w:val="0"/>
              </w:rPr>
              <w:t xml:space="preserve">Semantic Signatures</w:t>
            </w:r>
          </w:p>
          <w:p w:rsidR="00000000" w:rsidDel="00000000" w:rsidP="00000000" w:rsidRDefault="00000000" w:rsidRPr="00000000" w14:paraId="0000013E">
            <w:pPr>
              <w:rPr/>
            </w:pPr>
            <w:r w:rsidDel="00000000" w:rsidR="00000000" w:rsidRPr="00000000">
              <w:rPr>
                <w:rtl w:val="0"/>
              </w:rPr>
              <w:t xml:space="preserve">Ability for multiple independent organizations to sign and verify the correctness, accuracy, and validity of the playbook</w:t>
            </w:r>
          </w:p>
        </w:tc>
        <w:tc>
          <w:tcPr>
            <w:shd w:fill="auto" w:val="clear"/>
            <w:tcMar>
              <w:top w:w="100.0" w:type="dxa"/>
              <w:left w:w="100.0" w:type="dxa"/>
              <w:bottom w:w="100.0" w:type="dxa"/>
              <w:right w:w="100.0" w:type="dxa"/>
            </w:tcMar>
            <w:vAlign w:val="top"/>
          </w:tcPr>
          <w:p w:rsidR="00000000" w:rsidDel="00000000" w:rsidP="00000000" w:rsidRDefault="00000000" w:rsidRPr="00000000" w14:paraId="0000013F">
            <w:pPr>
              <w:jc w:val="center"/>
              <w:rPr/>
            </w:pPr>
            <w:r w:rsidDel="00000000" w:rsidR="00000000" w:rsidRPr="00000000">
              <w:rPr>
                <w:rtl w:val="0"/>
              </w:rPr>
              <w:t xml:space="preserve">PID.Meta</w:t>
            </w:r>
          </w:p>
          <w:p w:rsidR="00000000" w:rsidDel="00000000" w:rsidP="00000000" w:rsidRDefault="00000000" w:rsidRPr="00000000" w14:paraId="00000140">
            <w:pPr>
              <w:jc w:val="center"/>
              <w:rPr/>
            </w:pPr>
            <w:r w:rsidDel="00000000" w:rsidR="00000000" w:rsidRPr="00000000">
              <w:rPr>
                <w:rtl w:val="0"/>
              </w:rPr>
              <w:t xml:space="preserve">PID.Struct</w:t>
            </w:r>
          </w:p>
          <w:p w:rsidR="00000000" w:rsidDel="00000000" w:rsidP="00000000" w:rsidRDefault="00000000" w:rsidRPr="00000000" w14:paraId="00000141">
            <w:pPr>
              <w:jc w:val="center"/>
              <w:rPr/>
            </w:pPr>
            <w:r w:rsidDel="00000000" w:rsidR="00000000" w:rsidRPr="00000000">
              <w:rPr>
                <w:rtl w:val="0"/>
              </w:rPr>
              <w:t xml:space="preserve">PID.ActModel</w:t>
            </w:r>
          </w:p>
        </w:tc>
      </w:tr>
    </w:tbl>
    <w:p w:rsidR="00000000" w:rsidDel="00000000" w:rsidP="00000000" w:rsidRDefault="00000000" w:rsidRPr="00000000" w14:paraId="00000142">
      <w:pPr>
        <w:rPr/>
      </w:pPr>
      <w:r w:rsidDel="00000000" w:rsidR="00000000" w:rsidRPr="00000000">
        <w:rPr>
          <w:rtl w:val="0"/>
        </w:rPr>
      </w:r>
    </w:p>
    <w:p w:rsidR="00000000" w:rsidDel="00000000" w:rsidP="00000000" w:rsidRDefault="00000000" w:rsidRPr="00000000" w14:paraId="00000143">
      <w:pPr>
        <w:pStyle w:val="Heading2"/>
        <w:rPr/>
      </w:pPr>
      <w:bookmarkStart w:colFirst="0" w:colLast="0" w:name="_kjg6rnpr82h0" w:id="29"/>
      <w:bookmarkEnd w:id="29"/>
      <w:r w:rsidDel="00000000" w:rsidR="00000000" w:rsidRPr="00000000">
        <w:rPr>
          <w:rtl w:val="0"/>
        </w:rPr>
        <w:t xml:space="preserve">2.10 Security</w:t>
      </w:r>
    </w:p>
    <w:tbl>
      <w:tblPr>
        <w:tblStyle w:val="Table10"/>
        <w:tblW w:w="9356.007393715343"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36.007393715342"/>
        <w:gridCol w:w="5805"/>
        <w:gridCol w:w="2115"/>
        <w:tblGridChange w:id="0">
          <w:tblGrid>
            <w:gridCol w:w="1436.007393715342"/>
            <w:gridCol w:w="5805"/>
            <w:gridCol w:w="2115"/>
          </w:tblGrid>
        </w:tblGridChange>
      </w:tblGrid>
      <w:tr>
        <w:tc>
          <w:tcPr>
            <w:shd w:fill="c9daf8" w:val="clear"/>
            <w:tcMar>
              <w:top w:w="100.0" w:type="dxa"/>
              <w:left w:w="100.0" w:type="dxa"/>
              <w:bottom w:w="100.0" w:type="dxa"/>
              <w:right w:w="100.0" w:type="dxa"/>
            </w:tcMar>
            <w:vAlign w:val="top"/>
          </w:tcPr>
          <w:p w:rsidR="00000000" w:rsidDel="00000000" w:rsidP="00000000" w:rsidRDefault="00000000" w:rsidRPr="00000000" w14:paraId="00000144">
            <w:pPr>
              <w:widowControl w:val="0"/>
              <w:spacing w:line="240" w:lineRule="auto"/>
              <w:jc w:val="center"/>
              <w:rPr>
                <w:b w:val="1"/>
              </w:rPr>
            </w:pPr>
            <w:r w:rsidDel="00000000" w:rsidR="00000000" w:rsidRPr="00000000">
              <w:rPr>
                <w:b w:val="1"/>
                <w:rtl w:val="0"/>
              </w:rPr>
              <w:t xml:space="preserve">Requirement</w:t>
            </w:r>
          </w:p>
        </w:tc>
        <w:tc>
          <w:tcPr>
            <w:shd w:fill="c9daf8" w:val="clear"/>
            <w:tcMar>
              <w:top w:w="100.0" w:type="dxa"/>
              <w:left w:w="100.0" w:type="dxa"/>
              <w:bottom w:w="100.0" w:type="dxa"/>
              <w:right w:w="100.0" w:type="dxa"/>
            </w:tcMar>
            <w:vAlign w:val="top"/>
          </w:tcPr>
          <w:p w:rsidR="00000000" w:rsidDel="00000000" w:rsidP="00000000" w:rsidRDefault="00000000" w:rsidRPr="00000000" w14:paraId="00000145">
            <w:pPr>
              <w:widowControl w:val="0"/>
              <w:spacing w:line="240" w:lineRule="auto"/>
              <w:jc w:val="center"/>
              <w:rPr>
                <w:b w:val="1"/>
              </w:rPr>
            </w:pPr>
            <w:r w:rsidDel="00000000" w:rsidR="00000000" w:rsidRPr="00000000">
              <w:rPr>
                <w:b w:val="1"/>
                <w:rtl w:val="0"/>
              </w:rPr>
              <w:t xml:space="preserve">Details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146">
            <w:pPr>
              <w:widowControl w:val="0"/>
              <w:spacing w:line="240" w:lineRule="auto"/>
              <w:jc w:val="center"/>
              <w:rPr>
                <w:b w:val="1"/>
              </w:rPr>
            </w:pPr>
            <w:r w:rsidDel="00000000" w:rsidR="00000000" w:rsidRPr="00000000">
              <w:rPr>
                <w:b w:val="1"/>
                <w:rtl w:val="0"/>
              </w:rPr>
              <w:t xml:space="preserve">PID</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47">
            <w:pPr>
              <w:widowControl w:val="0"/>
              <w:spacing w:line="240" w:lineRule="auto"/>
              <w:jc w:val="center"/>
              <w:rPr/>
            </w:pPr>
            <w:r w:rsidDel="00000000" w:rsidR="00000000" w:rsidRPr="00000000">
              <w:rPr>
                <w:rtl w:val="0"/>
              </w:rPr>
              <w:t xml:space="preserve">SEC.1</w:t>
            </w:r>
          </w:p>
        </w:tc>
        <w:tc>
          <w:tcPr>
            <w:shd w:fill="auto" w:val="clear"/>
            <w:tcMar>
              <w:top w:w="100.0" w:type="dxa"/>
              <w:left w:w="100.0" w:type="dxa"/>
              <w:bottom w:w="100.0" w:type="dxa"/>
              <w:right w:w="100.0" w:type="dxa"/>
            </w:tcMar>
            <w:vAlign w:val="top"/>
          </w:tcPr>
          <w:p w:rsidR="00000000" w:rsidDel="00000000" w:rsidP="00000000" w:rsidRDefault="00000000" w:rsidRPr="00000000" w14:paraId="00000148">
            <w:pPr>
              <w:rPr>
                <w:b w:val="1"/>
              </w:rPr>
            </w:pPr>
            <w:r w:rsidDel="00000000" w:rsidR="00000000" w:rsidRPr="00000000">
              <w:rPr>
                <w:b w:val="1"/>
                <w:rtl w:val="0"/>
              </w:rPr>
              <w:t xml:space="preserve">Integrity and Authentication</w:t>
            </w:r>
          </w:p>
          <w:p w:rsidR="00000000" w:rsidDel="00000000" w:rsidP="00000000" w:rsidRDefault="00000000" w:rsidRPr="00000000" w14:paraId="00000149">
            <w:pPr>
              <w:rPr/>
            </w:pPr>
            <w:r w:rsidDel="00000000" w:rsidR="00000000" w:rsidRPr="00000000">
              <w:rPr>
                <w:rtl w:val="0"/>
              </w:rPr>
              <w:t xml:space="preserve">Support full data protection, integrity and authentication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4A">
            <w:pPr>
              <w:jc w:val="center"/>
              <w:rPr/>
            </w:pPr>
            <w:r w:rsidDel="00000000" w:rsidR="00000000" w:rsidRPr="00000000">
              <w:rPr>
                <w:rtl w:val="0"/>
              </w:rPr>
              <w:t xml:space="preserve">PID.Dep</w:t>
            </w:r>
          </w:p>
          <w:p w:rsidR="00000000" w:rsidDel="00000000" w:rsidP="00000000" w:rsidRDefault="00000000" w:rsidRPr="00000000" w14:paraId="0000014B">
            <w:pPr>
              <w:jc w:val="center"/>
              <w:rPr/>
            </w:pPr>
            <w:r w:rsidDel="00000000" w:rsidR="00000000" w:rsidRPr="00000000">
              <w:rPr>
                <w:rtl w:val="0"/>
              </w:rPr>
              <w:t xml:space="preserve">PID.Struct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4C">
            <w:pPr>
              <w:widowControl w:val="0"/>
              <w:spacing w:line="240" w:lineRule="auto"/>
              <w:jc w:val="center"/>
              <w:rPr/>
            </w:pPr>
            <w:r w:rsidDel="00000000" w:rsidR="00000000" w:rsidRPr="00000000">
              <w:rPr>
                <w:rtl w:val="0"/>
              </w:rPr>
              <w:t xml:space="preserve">SEC.2</w:t>
            </w:r>
          </w:p>
        </w:tc>
        <w:tc>
          <w:tcPr>
            <w:shd w:fill="auto" w:val="clear"/>
            <w:tcMar>
              <w:top w:w="100.0" w:type="dxa"/>
              <w:left w:w="100.0" w:type="dxa"/>
              <w:bottom w:w="100.0" w:type="dxa"/>
              <w:right w:w="100.0" w:type="dxa"/>
            </w:tcMar>
            <w:vAlign w:val="top"/>
          </w:tcPr>
          <w:p w:rsidR="00000000" w:rsidDel="00000000" w:rsidP="00000000" w:rsidRDefault="00000000" w:rsidRPr="00000000" w14:paraId="0000014D">
            <w:pPr>
              <w:rPr>
                <w:b w:val="1"/>
              </w:rPr>
            </w:pPr>
            <w:r w:rsidDel="00000000" w:rsidR="00000000" w:rsidRPr="00000000">
              <w:rPr>
                <w:b w:val="1"/>
                <w:rtl w:val="0"/>
              </w:rPr>
              <w:t xml:space="preserve">Transport</w:t>
            </w:r>
          </w:p>
          <w:p w:rsidR="00000000" w:rsidDel="00000000" w:rsidP="00000000" w:rsidRDefault="00000000" w:rsidRPr="00000000" w14:paraId="0000014E">
            <w:pPr>
              <w:ind w:left="0" w:firstLine="0"/>
              <w:rPr>
                <w:sz w:val="22"/>
                <w:szCs w:val="22"/>
              </w:rPr>
            </w:pPr>
            <w:r w:rsidDel="00000000" w:rsidR="00000000" w:rsidRPr="00000000">
              <w:rPr>
                <w:sz w:val="22"/>
                <w:szCs w:val="22"/>
                <w:rtl w:val="0"/>
              </w:rPr>
              <w:t xml:space="preserve">All requests and responses must be conveyed over a secure (encrypted and authenticated) transport protocol such as HTTPS (but not limited).</w:t>
            </w:r>
          </w:p>
        </w:tc>
        <w:tc>
          <w:tcPr>
            <w:shd w:fill="auto" w:val="clear"/>
            <w:tcMar>
              <w:top w:w="100.0" w:type="dxa"/>
              <w:left w:w="100.0" w:type="dxa"/>
              <w:bottom w:w="100.0" w:type="dxa"/>
              <w:right w:w="100.0" w:type="dxa"/>
            </w:tcMar>
            <w:vAlign w:val="top"/>
          </w:tcPr>
          <w:p w:rsidR="00000000" w:rsidDel="00000000" w:rsidP="00000000" w:rsidRDefault="00000000" w:rsidRPr="00000000" w14:paraId="0000014F">
            <w:pPr>
              <w:jc w:val="center"/>
              <w:rPr/>
            </w:pPr>
            <w:r w:rsidDel="00000000" w:rsidR="00000000" w:rsidRPr="00000000">
              <w:rPr>
                <w:rtl w:val="0"/>
              </w:rPr>
              <w:t xml:space="preserve">PID.Dep</w:t>
            </w:r>
          </w:p>
          <w:p w:rsidR="00000000" w:rsidDel="00000000" w:rsidP="00000000" w:rsidRDefault="00000000" w:rsidRPr="00000000" w14:paraId="00000150">
            <w:pPr>
              <w:jc w:val="center"/>
              <w:rPr/>
            </w:pPr>
            <w:r w:rsidDel="00000000" w:rsidR="00000000" w:rsidRPr="00000000">
              <w:rPr>
                <w:rtl w:val="0"/>
              </w:rPr>
              <w:t xml:space="preserve">PID.Struct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51">
            <w:pPr>
              <w:widowControl w:val="0"/>
              <w:spacing w:line="240" w:lineRule="auto"/>
              <w:jc w:val="center"/>
              <w:rPr/>
            </w:pPr>
            <w:r w:rsidDel="00000000" w:rsidR="00000000" w:rsidRPr="00000000">
              <w:rPr>
                <w:rtl w:val="0"/>
              </w:rPr>
              <w:t xml:space="preserve">SEC.3</w:t>
            </w:r>
          </w:p>
        </w:tc>
        <w:tc>
          <w:tcPr>
            <w:shd w:fill="auto" w:val="clear"/>
            <w:tcMar>
              <w:top w:w="100.0" w:type="dxa"/>
              <w:left w:w="100.0" w:type="dxa"/>
              <w:bottom w:w="100.0" w:type="dxa"/>
              <w:right w:w="100.0" w:type="dxa"/>
            </w:tcMar>
            <w:vAlign w:val="top"/>
          </w:tcPr>
          <w:p w:rsidR="00000000" w:rsidDel="00000000" w:rsidP="00000000" w:rsidRDefault="00000000" w:rsidRPr="00000000" w14:paraId="00000152">
            <w:pPr>
              <w:rPr>
                <w:b w:val="1"/>
              </w:rPr>
            </w:pPr>
            <w:r w:rsidDel="00000000" w:rsidR="00000000" w:rsidRPr="00000000">
              <w:rPr>
                <w:b w:val="1"/>
                <w:rtl w:val="0"/>
              </w:rPr>
              <w:t xml:space="preserve">Delivery Options</w:t>
            </w:r>
          </w:p>
          <w:p w:rsidR="00000000" w:rsidDel="00000000" w:rsidP="00000000" w:rsidRDefault="00000000" w:rsidRPr="00000000" w14:paraId="00000153">
            <w:pPr>
              <w:rPr>
                <w:b w:val="1"/>
              </w:rPr>
            </w:pPr>
            <w:r w:rsidDel="00000000" w:rsidR="00000000" w:rsidRPr="00000000">
              <w:rPr>
                <w:rtl w:val="0"/>
              </w:rPr>
              <w:t xml:space="preserve">Both direct delivery and publish/subscribe solutions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4">
            <w:pPr>
              <w:jc w:val="center"/>
              <w:rPr/>
            </w:pPr>
            <w:r w:rsidDel="00000000" w:rsidR="00000000" w:rsidRPr="00000000">
              <w:rPr>
                <w:rtl w:val="0"/>
              </w:rPr>
              <w:t xml:space="preserve">PID.Dep</w:t>
            </w:r>
          </w:p>
          <w:p w:rsidR="00000000" w:rsidDel="00000000" w:rsidP="00000000" w:rsidRDefault="00000000" w:rsidRPr="00000000" w14:paraId="00000155">
            <w:pPr>
              <w:jc w:val="center"/>
              <w:rPr/>
            </w:pPr>
            <w:r w:rsidDel="00000000" w:rsidR="00000000" w:rsidRPr="00000000">
              <w:rPr>
                <w:rtl w:val="0"/>
              </w:rPr>
              <w:t xml:space="preserve">PID.Struct</w:t>
            </w:r>
          </w:p>
        </w:tc>
      </w:tr>
    </w:tbl>
    <w:p w:rsidR="00000000" w:rsidDel="00000000" w:rsidP="00000000" w:rsidRDefault="00000000" w:rsidRPr="00000000" w14:paraId="00000156">
      <w:pPr>
        <w:rPr/>
      </w:pPr>
      <w:r w:rsidDel="00000000" w:rsidR="00000000" w:rsidRPr="00000000">
        <w:rPr>
          <w:rtl w:val="0"/>
        </w:rPr>
      </w:r>
    </w:p>
    <w:p w:rsidR="00000000" w:rsidDel="00000000" w:rsidP="00000000" w:rsidRDefault="00000000" w:rsidRPr="00000000" w14:paraId="00000157">
      <w:pPr>
        <w:pStyle w:val="Heading2"/>
        <w:rPr/>
      </w:pPr>
      <w:bookmarkStart w:colFirst="0" w:colLast="0" w:name="_1r4azqr4q9qi" w:id="30"/>
      <w:bookmarkEnd w:id="30"/>
      <w:r w:rsidDel="00000000" w:rsidR="00000000" w:rsidRPr="00000000">
        <w:rPr>
          <w:rtl w:val="0"/>
        </w:rPr>
        <w:t xml:space="preserve">2.11 Separation</w:t>
      </w:r>
    </w:p>
    <w:tbl>
      <w:tblPr>
        <w:tblStyle w:val="Table11"/>
        <w:tblW w:w="9356.007393715343"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36.007393715342"/>
        <w:gridCol w:w="5640"/>
        <w:gridCol w:w="2280"/>
        <w:tblGridChange w:id="0">
          <w:tblGrid>
            <w:gridCol w:w="1436.007393715342"/>
            <w:gridCol w:w="5640"/>
            <w:gridCol w:w="2280"/>
          </w:tblGrid>
        </w:tblGridChange>
      </w:tblGrid>
      <w:tr>
        <w:tc>
          <w:tcPr>
            <w:shd w:fill="c9daf8" w:val="clear"/>
            <w:tcMar>
              <w:top w:w="100.0" w:type="dxa"/>
              <w:left w:w="100.0" w:type="dxa"/>
              <w:bottom w:w="100.0" w:type="dxa"/>
              <w:right w:w="100.0" w:type="dxa"/>
            </w:tcMar>
            <w:vAlign w:val="top"/>
          </w:tcPr>
          <w:p w:rsidR="00000000" w:rsidDel="00000000" w:rsidP="00000000" w:rsidRDefault="00000000" w:rsidRPr="00000000" w14:paraId="00000158">
            <w:pPr>
              <w:widowControl w:val="0"/>
              <w:spacing w:line="240" w:lineRule="auto"/>
              <w:jc w:val="center"/>
              <w:rPr>
                <w:b w:val="1"/>
              </w:rPr>
            </w:pPr>
            <w:r w:rsidDel="00000000" w:rsidR="00000000" w:rsidRPr="00000000">
              <w:rPr>
                <w:b w:val="1"/>
                <w:rtl w:val="0"/>
              </w:rPr>
              <w:t xml:space="preserve">Requirement</w:t>
            </w:r>
          </w:p>
        </w:tc>
        <w:tc>
          <w:tcPr>
            <w:shd w:fill="c9daf8" w:val="clear"/>
            <w:tcMar>
              <w:top w:w="100.0" w:type="dxa"/>
              <w:left w:w="100.0" w:type="dxa"/>
              <w:bottom w:w="100.0" w:type="dxa"/>
              <w:right w:w="100.0" w:type="dxa"/>
            </w:tcMar>
            <w:vAlign w:val="top"/>
          </w:tcPr>
          <w:p w:rsidR="00000000" w:rsidDel="00000000" w:rsidP="00000000" w:rsidRDefault="00000000" w:rsidRPr="00000000" w14:paraId="00000159">
            <w:pPr>
              <w:widowControl w:val="0"/>
              <w:spacing w:line="240" w:lineRule="auto"/>
              <w:jc w:val="center"/>
              <w:rPr>
                <w:b w:val="1"/>
              </w:rPr>
            </w:pPr>
            <w:r w:rsidDel="00000000" w:rsidR="00000000" w:rsidRPr="00000000">
              <w:rPr>
                <w:b w:val="1"/>
                <w:rtl w:val="0"/>
              </w:rPr>
              <w:t xml:space="preserve">Details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15A">
            <w:pPr>
              <w:widowControl w:val="0"/>
              <w:spacing w:line="240" w:lineRule="auto"/>
              <w:jc w:val="center"/>
              <w:rPr>
                <w:b w:val="1"/>
              </w:rPr>
            </w:pPr>
            <w:r w:rsidDel="00000000" w:rsidR="00000000" w:rsidRPr="00000000">
              <w:rPr>
                <w:b w:val="1"/>
                <w:rtl w:val="0"/>
              </w:rPr>
              <w:t xml:space="preserve">PID</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5B">
            <w:pPr>
              <w:widowControl w:val="0"/>
              <w:spacing w:line="240" w:lineRule="auto"/>
              <w:jc w:val="center"/>
              <w:rPr/>
            </w:pPr>
            <w:r w:rsidDel="00000000" w:rsidR="00000000" w:rsidRPr="00000000">
              <w:rPr>
                <w:rtl w:val="0"/>
              </w:rPr>
              <w:t xml:space="preserve">SEP.1</w:t>
            </w:r>
          </w:p>
        </w:tc>
        <w:tc>
          <w:tcPr>
            <w:shd w:fill="auto" w:val="clear"/>
            <w:tcMar>
              <w:top w:w="100.0" w:type="dxa"/>
              <w:left w:w="100.0" w:type="dxa"/>
              <w:bottom w:w="100.0" w:type="dxa"/>
              <w:right w:w="100.0" w:type="dxa"/>
            </w:tcMar>
            <w:vAlign w:val="top"/>
          </w:tcPr>
          <w:p w:rsidR="00000000" w:rsidDel="00000000" w:rsidP="00000000" w:rsidRDefault="00000000" w:rsidRPr="00000000" w14:paraId="0000015C">
            <w:pPr>
              <w:rPr>
                <w:b w:val="1"/>
              </w:rPr>
            </w:pPr>
            <w:r w:rsidDel="00000000" w:rsidR="00000000" w:rsidRPr="00000000">
              <w:rPr>
                <w:b w:val="1"/>
                <w:rtl w:val="0"/>
              </w:rPr>
              <w:t xml:space="preserve">Portability</w:t>
            </w:r>
          </w:p>
          <w:p w:rsidR="00000000" w:rsidDel="00000000" w:rsidP="00000000" w:rsidRDefault="00000000" w:rsidRPr="00000000" w14:paraId="0000015D">
            <w:pPr>
              <w:rPr/>
            </w:pPr>
            <w:r w:rsidDel="00000000" w:rsidR="00000000" w:rsidRPr="00000000">
              <w:rPr>
                <w:rtl w:val="0"/>
              </w:rPr>
              <w:t xml:space="preserve">Playbooks may be defined in one environment and executed or deployed to a different operational environment. Meaning, the security environment executing the playbook will likely be different from where the playbook was defined.</w:t>
            </w:r>
          </w:p>
        </w:tc>
        <w:tc>
          <w:tcPr>
            <w:shd w:fill="auto" w:val="clear"/>
            <w:tcMar>
              <w:top w:w="100.0" w:type="dxa"/>
              <w:left w:w="100.0" w:type="dxa"/>
              <w:bottom w:w="100.0" w:type="dxa"/>
              <w:right w:w="100.0" w:type="dxa"/>
            </w:tcMar>
            <w:vAlign w:val="top"/>
          </w:tcPr>
          <w:p w:rsidR="00000000" w:rsidDel="00000000" w:rsidP="00000000" w:rsidRDefault="00000000" w:rsidRPr="00000000" w14:paraId="0000015E">
            <w:pPr>
              <w:jc w:val="center"/>
              <w:rPr/>
            </w:pPr>
            <w:r w:rsidDel="00000000" w:rsidR="00000000" w:rsidRPr="00000000">
              <w:rPr>
                <w:rtl w:val="0"/>
              </w:rPr>
              <w:t xml:space="preserve">PID.Dep</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5F">
            <w:pPr>
              <w:widowControl w:val="0"/>
              <w:spacing w:line="240" w:lineRule="auto"/>
              <w:jc w:val="center"/>
              <w:rPr/>
            </w:pPr>
            <w:r w:rsidDel="00000000" w:rsidR="00000000" w:rsidRPr="00000000">
              <w:rPr>
                <w:rtl w:val="0"/>
              </w:rPr>
              <w:t xml:space="preserve">SEP.2</w:t>
            </w:r>
          </w:p>
        </w:tc>
        <w:tc>
          <w:tcPr>
            <w:shd w:fill="auto" w:val="clear"/>
            <w:tcMar>
              <w:top w:w="100.0" w:type="dxa"/>
              <w:left w:w="100.0" w:type="dxa"/>
              <w:bottom w:w="100.0" w:type="dxa"/>
              <w:right w:w="100.0" w:type="dxa"/>
            </w:tcMar>
            <w:vAlign w:val="top"/>
          </w:tcPr>
          <w:p w:rsidR="00000000" w:rsidDel="00000000" w:rsidP="00000000" w:rsidRDefault="00000000" w:rsidRPr="00000000" w14:paraId="00000160">
            <w:pPr>
              <w:rPr>
                <w:b w:val="1"/>
              </w:rPr>
            </w:pPr>
            <w:r w:rsidDel="00000000" w:rsidR="00000000" w:rsidRPr="00000000">
              <w:rPr>
                <w:b w:val="1"/>
                <w:rtl w:val="0"/>
              </w:rPr>
              <w:t xml:space="preserve">Authorization Requirements</w:t>
            </w:r>
          </w:p>
          <w:p w:rsidR="00000000" w:rsidDel="00000000" w:rsidP="00000000" w:rsidRDefault="00000000" w:rsidRPr="00000000" w14:paraId="00000161">
            <w:pPr>
              <w:rPr/>
            </w:pPr>
            <w:r w:rsidDel="00000000" w:rsidR="00000000" w:rsidRPr="00000000">
              <w:rPr>
                <w:rtl w:val="0"/>
              </w:rPr>
              <w:t xml:space="preserve">For a playbook to execute correctly it must have authorization in the operational environment where it is executed.</w:t>
            </w:r>
          </w:p>
        </w:tc>
        <w:tc>
          <w:tcPr>
            <w:shd w:fill="auto" w:val="clear"/>
            <w:tcMar>
              <w:top w:w="100.0" w:type="dxa"/>
              <w:left w:w="100.0" w:type="dxa"/>
              <w:bottom w:w="100.0" w:type="dxa"/>
              <w:right w:w="100.0" w:type="dxa"/>
            </w:tcMar>
            <w:vAlign w:val="top"/>
          </w:tcPr>
          <w:p w:rsidR="00000000" w:rsidDel="00000000" w:rsidP="00000000" w:rsidRDefault="00000000" w:rsidRPr="00000000" w14:paraId="00000162">
            <w:pPr>
              <w:jc w:val="center"/>
              <w:rPr/>
            </w:pPr>
            <w:r w:rsidDel="00000000" w:rsidR="00000000" w:rsidRPr="00000000">
              <w:rPr>
                <w:rtl w:val="0"/>
              </w:rPr>
              <w:t xml:space="preserve">PID.Dep</w:t>
            </w:r>
          </w:p>
          <w:p w:rsidR="00000000" w:rsidDel="00000000" w:rsidP="00000000" w:rsidRDefault="00000000" w:rsidRPr="00000000" w14:paraId="00000163">
            <w:pPr>
              <w:jc w:val="center"/>
              <w:rPr/>
            </w:pPr>
            <w:r w:rsidDel="00000000" w:rsidR="00000000" w:rsidRPr="00000000">
              <w:rPr>
                <w:rtl w:val="0"/>
              </w:rPr>
              <w:t xml:space="preserve">PID.Meta</w:t>
            </w:r>
          </w:p>
        </w:tc>
      </w:tr>
    </w:tbl>
    <w:p w:rsidR="00000000" w:rsidDel="00000000" w:rsidP="00000000" w:rsidRDefault="00000000" w:rsidRPr="00000000" w14:paraId="00000164">
      <w:pPr>
        <w:rPr/>
      </w:pPr>
      <w:r w:rsidDel="00000000" w:rsidR="00000000" w:rsidRPr="00000000">
        <w:rPr>
          <w:rtl w:val="0"/>
        </w:rPr>
      </w:r>
    </w:p>
    <w:p w:rsidR="00000000" w:rsidDel="00000000" w:rsidP="00000000" w:rsidRDefault="00000000" w:rsidRPr="00000000" w14:paraId="00000165">
      <w:pPr>
        <w:pStyle w:val="Heading2"/>
        <w:rPr/>
      </w:pPr>
      <w:bookmarkStart w:colFirst="0" w:colLast="0" w:name="_ha1buc7l3snv" w:id="31"/>
      <w:bookmarkEnd w:id="31"/>
      <w:r w:rsidDel="00000000" w:rsidR="00000000" w:rsidRPr="00000000">
        <w:rPr>
          <w:rtl w:val="0"/>
        </w:rPr>
        <w:t xml:space="preserve">2.12 Marking</w:t>
      </w:r>
    </w:p>
    <w:tbl>
      <w:tblPr>
        <w:tblStyle w:val="Table12"/>
        <w:tblW w:w="9356.007393715343"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36.007393715342"/>
        <w:gridCol w:w="5580"/>
        <w:gridCol w:w="2340"/>
        <w:tblGridChange w:id="0">
          <w:tblGrid>
            <w:gridCol w:w="1436.007393715342"/>
            <w:gridCol w:w="5580"/>
            <w:gridCol w:w="2340"/>
          </w:tblGrid>
        </w:tblGridChange>
      </w:tblGrid>
      <w:tr>
        <w:tc>
          <w:tcPr>
            <w:shd w:fill="c9daf8" w:val="clear"/>
            <w:tcMar>
              <w:top w:w="100.0" w:type="dxa"/>
              <w:left w:w="100.0" w:type="dxa"/>
              <w:bottom w:w="100.0" w:type="dxa"/>
              <w:right w:w="100.0" w:type="dxa"/>
            </w:tcMar>
            <w:vAlign w:val="top"/>
          </w:tcPr>
          <w:p w:rsidR="00000000" w:rsidDel="00000000" w:rsidP="00000000" w:rsidRDefault="00000000" w:rsidRPr="00000000" w14:paraId="00000166">
            <w:pPr>
              <w:widowControl w:val="0"/>
              <w:spacing w:line="240" w:lineRule="auto"/>
              <w:jc w:val="center"/>
              <w:rPr>
                <w:b w:val="1"/>
              </w:rPr>
            </w:pPr>
            <w:r w:rsidDel="00000000" w:rsidR="00000000" w:rsidRPr="00000000">
              <w:rPr>
                <w:b w:val="1"/>
                <w:rtl w:val="0"/>
              </w:rPr>
              <w:t xml:space="preserve">Requirement</w:t>
            </w:r>
          </w:p>
        </w:tc>
        <w:tc>
          <w:tcPr>
            <w:shd w:fill="c9daf8" w:val="clear"/>
            <w:tcMar>
              <w:top w:w="100.0" w:type="dxa"/>
              <w:left w:w="100.0" w:type="dxa"/>
              <w:bottom w:w="100.0" w:type="dxa"/>
              <w:right w:w="100.0" w:type="dxa"/>
            </w:tcMar>
            <w:vAlign w:val="top"/>
          </w:tcPr>
          <w:p w:rsidR="00000000" w:rsidDel="00000000" w:rsidP="00000000" w:rsidRDefault="00000000" w:rsidRPr="00000000" w14:paraId="00000167">
            <w:pPr>
              <w:widowControl w:val="0"/>
              <w:spacing w:line="240" w:lineRule="auto"/>
              <w:jc w:val="center"/>
              <w:rPr>
                <w:b w:val="1"/>
              </w:rPr>
            </w:pPr>
            <w:r w:rsidDel="00000000" w:rsidR="00000000" w:rsidRPr="00000000">
              <w:rPr>
                <w:b w:val="1"/>
                <w:rtl w:val="0"/>
              </w:rPr>
              <w:t xml:space="preserve">Details</w:t>
            </w:r>
          </w:p>
        </w:tc>
        <w:tc>
          <w:tcPr>
            <w:shd w:fill="c9daf8" w:val="clear"/>
            <w:tcMar>
              <w:top w:w="100.0" w:type="dxa"/>
              <w:left w:w="100.0" w:type="dxa"/>
              <w:bottom w:w="100.0" w:type="dxa"/>
              <w:right w:w="100.0" w:type="dxa"/>
            </w:tcMar>
            <w:vAlign w:val="top"/>
          </w:tcPr>
          <w:p w:rsidR="00000000" w:rsidDel="00000000" w:rsidP="00000000" w:rsidRDefault="00000000" w:rsidRPr="00000000" w14:paraId="00000168">
            <w:pPr>
              <w:widowControl w:val="0"/>
              <w:spacing w:line="240" w:lineRule="auto"/>
              <w:jc w:val="center"/>
              <w:rPr>
                <w:b w:val="1"/>
              </w:rPr>
            </w:pPr>
            <w:r w:rsidDel="00000000" w:rsidR="00000000" w:rsidRPr="00000000">
              <w:rPr>
                <w:b w:val="1"/>
                <w:rtl w:val="0"/>
              </w:rPr>
              <w:t xml:space="preserve">PID</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69">
            <w:pPr>
              <w:widowControl w:val="0"/>
              <w:spacing w:line="240" w:lineRule="auto"/>
              <w:jc w:val="center"/>
              <w:rPr/>
            </w:pPr>
            <w:r w:rsidDel="00000000" w:rsidR="00000000" w:rsidRPr="00000000">
              <w:rPr>
                <w:rtl w:val="0"/>
              </w:rPr>
              <w:t xml:space="preserve">MARK.1</w:t>
            </w:r>
          </w:p>
        </w:tc>
        <w:tc>
          <w:tcPr>
            <w:shd w:fill="auto" w:val="clear"/>
            <w:tcMar>
              <w:top w:w="100.0" w:type="dxa"/>
              <w:left w:w="100.0" w:type="dxa"/>
              <w:bottom w:w="100.0" w:type="dxa"/>
              <w:right w:w="100.0" w:type="dxa"/>
            </w:tcMar>
            <w:vAlign w:val="top"/>
          </w:tcPr>
          <w:p w:rsidR="00000000" w:rsidDel="00000000" w:rsidP="00000000" w:rsidRDefault="00000000" w:rsidRPr="00000000" w14:paraId="0000016A">
            <w:pPr>
              <w:spacing w:line="240" w:lineRule="auto"/>
              <w:ind w:left="0" w:firstLine="0"/>
              <w:rPr>
                <w:b w:val="1"/>
              </w:rPr>
            </w:pPr>
            <w:r w:rsidDel="00000000" w:rsidR="00000000" w:rsidRPr="00000000">
              <w:rPr>
                <w:b w:val="1"/>
                <w:rtl w:val="0"/>
              </w:rPr>
              <w:t xml:space="preserve">Object Level Markings</w:t>
            </w:r>
          </w:p>
          <w:p w:rsidR="00000000" w:rsidDel="00000000" w:rsidP="00000000" w:rsidRDefault="00000000" w:rsidRPr="00000000" w14:paraId="0000016B">
            <w:pPr>
              <w:spacing w:line="240" w:lineRule="auto"/>
              <w:ind w:left="0" w:firstLine="0"/>
              <w:rPr/>
            </w:pPr>
            <w:r w:rsidDel="00000000" w:rsidR="00000000" w:rsidRPr="00000000">
              <w:rPr>
                <w:rtl w:val="0"/>
              </w:rPr>
              <w:t xml:space="preserve">Need ability to support data marking at a Playbook level such as TLP Red for the entire playbook</w:t>
            </w:r>
          </w:p>
        </w:tc>
        <w:tc>
          <w:tcPr>
            <w:shd w:fill="auto" w:val="clear"/>
            <w:tcMar>
              <w:top w:w="100.0" w:type="dxa"/>
              <w:left w:w="100.0" w:type="dxa"/>
              <w:bottom w:w="100.0" w:type="dxa"/>
              <w:right w:w="100.0" w:type="dxa"/>
            </w:tcMar>
            <w:vAlign w:val="top"/>
          </w:tcPr>
          <w:p w:rsidR="00000000" w:rsidDel="00000000" w:rsidP="00000000" w:rsidRDefault="00000000" w:rsidRPr="00000000" w14:paraId="0000016C">
            <w:pPr>
              <w:spacing w:line="240" w:lineRule="auto"/>
              <w:ind w:left="0" w:firstLine="0"/>
              <w:jc w:val="center"/>
              <w:rPr/>
            </w:pPr>
            <w:r w:rsidDel="00000000" w:rsidR="00000000" w:rsidRPr="00000000">
              <w:rPr>
                <w:rtl w:val="0"/>
              </w:rPr>
              <w:t xml:space="preserve">PID.Dep</w:t>
            </w:r>
          </w:p>
          <w:p w:rsidR="00000000" w:rsidDel="00000000" w:rsidP="00000000" w:rsidRDefault="00000000" w:rsidRPr="00000000" w14:paraId="0000016D">
            <w:pPr>
              <w:spacing w:line="240" w:lineRule="auto"/>
              <w:ind w:left="0" w:firstLine="0"/>
              <w:jc w:val="center"/>
              <w:rPr/>
            </w:pPr>
            <w:r w:rsidDel="00000000" w:rsidR="00000000" w:rsidRPr="00000000">
              <w:rPr>
                <w:rtl w:val="0"/>
              </w:rPr>
              <w:t xml:space="preserve">PID.Meta</w:t>
            </w:r>
          </w:p>
          <w:p w:rsidR="00000000" w:rsidDel="00000000" w:rsidP="00000000" w:rsidRDefault="00000000" w:rsidRPr="00000000" w14:paraId="0000016E">
            <w:pPr>
              <w:spacing w:line="240" w:lineRule="auto"/>
              <w:ind w:left="0" w:firstLine="0"/>
              <w:jc w:val="center"/>
              <w:rPr/>
            </w:pPr>
            <w:r w:rsidDel="00000000" w:rsidR="00000000" w:rsidRPr="00000000">
              <w:rPr>
                <w:rtl w:val="0"/>
              </w:rPr>
              <w:t xml:space="preserve">PID.Struct</w:t>
            </w:r>
          </w:p>
          <w:p w:rsidR="00000000" w:rsidDel="00000000" w:rsidP="00000000" w:rsidRDefault="00000000" w:rsidRPr="00000000" w14:paraId="0000016F">
            <w:pPr>
              <w:spacing w:line="240" w:lineRule="auto"/>
              <w:ind w:left="0" w:firstLine="0"/>
              <w:jc w:val="center"/>
              <w:rPr/>
            </w:pPr>
            <w:r w:rsidDel="00000000" w:rsidR="00000000" w:rsidRPr="00000000">
              <w:rPr>
                <w:rtl w:val="0"/>
              </w:rPr>
              <w:t xml:space="preserve">PID.ActModel</w:t>
            </w:r>
          </w:p>
          <w:p w:rsidR="00000000" w:rsidDel="00000000" w:rsidP="00000000" w:rsidRDefault="00000000" w:rsidRPr="00000000" w14:paraId="00000170">
            <w:pPr>
              <w:spacing w:line="240" w:lineRule="auto"/>
              <w:ind w:left="0" w:firstLine="0"/>
              <w:jc w:val="center"/>
              <w:rPr/>
            </w:pPr>
            <w:r w:rsidDel="00000000" w:rsidR="00000000" w:rsidRPr="00000000">
              <w:rPr>
                <w:rtl w:val="0"/>
              </w:rPr>
              <w:t xml:space="preserve">PID.ActDetail</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71">
            <w:pPr>
              <w:widowControl w:val="0"/>
              <w:spacing w:line="240" w:lineRule="auto"/>
              <w:jc w:val="center"/>
              <w:rPr/>
            </w:pPr>
            <w:r w:rsidDel="00000000" w:rsidR="00000000" w:rsidRPr="00000000">
              <w:rPr>
                <w:rtl w:val="0"/>
              </w:rPr>
              <w:t xml:space="preserve">MARK.2</w:t>
            </w:r>
          </w:p>
        </w:tc>
        <w:tc>
          <w:tcPr>
            <w:shd w:fill="auto" w:val="clear"/>
            <w:tcMar>
              <w:top w:w="100.0" w:type="dxa"/>
              <w:left w:w="100.0" w:type="dxa"/>
              <w:bottom w:w="100.0" w:type="dxa"/>
              <w:right w:w="100.0" w:type="dxa"/>
            </w:tcMar>
            <w:vAlign w:val="top"/>
          </w:tcPr>
          <w:p w:rsidR="00000000" w:rsidDel="00000000" w:rsidP="00000000" w:rsidRDefault="00000000" w:rsidRPr="00000000" w14:paraId="00000172">
            <w:pPr>
              <w:widowControl w:val="0"/>
              <w:spacing w:line="240" w:lineRule="auto"/>
              <w:ind w:left="0" w:firstLine="0"/>
              <w:rPr>
                <w:b w:val="1"/>
              </w:rPr>
            </w:pPr>
            <w:r w:rsidDel="00000000" w:rsidR="00000000" w:rsidRPr="00000000">
              <w:rPr>
                <w:b w:val="1"/>
                <w:rtl w:val="0"/>
              </w:rPr>
              <w:t xml:space="preserve">Granular Markings</w:t>
            </w:r>
          </w:p>
          <w:p w:rsidR="00000000" w:rsidDel="00000000" w:rsidP="00000000" w:rsidRDefault="00000000" w:rsidRPr="00000000" w14:paraId="00000173">
            <w:pPr>
              <w:widowControl w:val="0"/>
              <w:spacing w:line="240" w:lineRule="auto"/>
              <w:ind w:left="0" w:firstLine="0"/>
              <w:rPr/>
            </w:pPr>
            <w:r w:rsidDel="00000000" w:rsidR="00000000" w:rsidRPr="00000000">
              <w:rPr>
                <w:rtl w:val="0"/>
              </w:rPr>
              <w:t xml:space="preserve">Need ability to support data marking at specific control blocks within a Playbook</w:t>
            </w:r>
          </w:p>
        </w:tc>
        <w:tc>
          <w:tcPr>
            <w:shd w:fill="auto" w:val="clear"/>
            <w:tcMar>
              <w:top w:w="100.0" w:type="dxa"/>
              <w:left w:w="100.0" w:type="dxa"/>
              <w:bottom w:w="100.0" w:type="dxa"/>
              <w:right w:w="100.0" w:type="dxa"/>
            </w:tcMar>
            <w:vAlign w:val="top"/>
          </w:tcPr>
          <w:p w:rsidR="00000000" w:rsidDel="00000000" w:rsidP="00000000" w:rsidRDefault="00000000" w:rsidRPr="00000000" w14:paraId="00000174">
            <w:pPr>
              <w:spacing w:line="240" w:lineRule="auto"/>
              <w:jc w:val="center"/>
              <w:rPr/>
            </w:pPr>
            <w:r w:rsidDel="00000000" w:rsidR="00000000" w:rsidRPr="00000000">
              <w:rPr>
                <w:rtl w:val="0"/>
              </w:rPr>
              <w:t xml:space="preserve">PID.Dep</w:t>
            </w:r>
          </w:p>
          <w:p w:rsidR="00000000" w:rsidDel="00000000" w:rsidP="00000000" w:rsidRDefault="00000000" w:rsidRPr="00000000" w14:paraId="00000175">
            <w:pPr>
              <w:spacing w:line="240" w:lineRule="auto"/>
              <w:jc w:val="center"/>
              <w:rPr/>
            </w:pPr>
            <w:r w:rsidDel="00000000" w:rsidR="00000000" w:rsidRPr="00000000">
              <w:rPr>
                <w:rtl w:val="0"/>
              </w:rPr>
              <w:t xml:space="preserve">PID.Meta</w:t>
            </w:r>
          </w:p>
          <w:p w:rsidR="00000000" w:rsidDel="00000000" w:rsidP="00000000" w:rsidRDefault="00000000" w:rsidRPr="00000000" w14:paraId="00000176">
            <w:pPr>
              <w:spacing w:line="240" w:lineRule="auto"/>
              <w:jc w:val="center"/>
              <w:rPr/>
            </w:pPr>
            <w:r w:rsidDel="00000000" w:rsidR="00000000" w:rsidRPr="00000000">
              <w:rPr>
                <w:rtl w:val="0"/>
              </w:rPr>
              <w:t xml:space="preserve">PID.Struct</w:t>
            </w:r>
          </w:p>
          <w:p w:rsidR="00000000" w:rsidDel="00000000" w:rsidP="00000000" w:rsidRDefault="00000000" w:rsidRPr="00000000" w14:paraId="00000177">
            <w:pPr>
              <w:spacing w:line="240" w:lineRule="auto"/>
              <w:jc w:val="center"/>
              <w:rPr/>
            </w:pPr>
            <w:r w:rsidDel="00000000" w:rsidR="00000000" w:rsidRPr="00000000">
              <w:rPr>
                <w:rtl w:val="0"/>
              </w:rPr>
              <w:t xml:space="preserve">PID.ActModel</w:t>
            </w:r>
          </w:p>
          <w:p w:rsidR="00000000" w:rsidDel="00000000" w:rsidP="00000000" w:rsidRDefault="00000000" w:rsidRPr="00000000" w14:paraId="00000178">
            <w:pPr>
              <w:spacing w:line="240" w:lineRule="auto"/>
              <w:jc w:val="center"/>
              <w:rPr/>
            </w:pPr>
            <w:r w:rsidDel="00000000" w:rsidR="00000000" w:rsidRPr="00000000">
              <w:rPr>
                <w:rtl w:val="0"/>
              </w:rPr>
              <w:t xml:space="preserve">PID.ActDetail</w:t>
            </w:r>
          </w:p>
        </w:tc>
      </w:tr>
    </w:tbl>
    <w:p w:rsidR="00000000" w:rsidDel="00000000" w:rsidP="00000000" w:rsidRDefault="00000000" w:rsidRPr="00000000" w14:paraId="00000179">
      <w:pPr>
        <w:widowControl w:val="0"/>
        <w:spacing w:line="240" w:lineRule="auto"/>
        <w:ind w:left="0" w:firstLine="0"/>
        <w:rPr/>
      </w:pPr>
      <w:r w:rsidDel="00000000" w:rsidR="00000000" w:rsidRPr="00000000">
        <w:rPr>
          <w:rtl w:val="0"/>
        </w:rPr>
      </w:r>
    </w:p>
    <w:p w:rsidR="00000000" w:rsidDel="00000000" w:rsidP="00000000" w:rsidRDefault="00000000" w:rsidRPr="00000000" w14:paraId="0000017A">
      <w:pPr>
        <w:widowControl w:val="0"/>
        <w:spacing w:line="240" w:lineRule="auto"/>
        <w:rPr/>
      </w:pPr>
      <w:r w:rsidDel="00000000" w:rsidR="00000000" w:rsidRPr="00000000">
        <w:rPr>
          <w:rtl w:val="0"/>
        </w:rPr>
      </w:r>
    </w:p>
    <w:p w:rsidR="00000000" w:rsidDel="00000000" w:rsidP="00000000" w:rsidRDefault="00000000" w:rsidRPr="00000000" w14:paraId="0000017B">
      <w:pPr>
        <w:rPr/>
      </w:pPr>
      <w:r w:rsidDel="00000000" w:rsidR="00000000" w:rsidRPr="00000000">
        <w:rPr>
          <w:rtl w:val="0"/>
        </w:rPr>
      </w:r>
    </w:p>
    <w:p w:rsidR="00000000" w:rsidDel="00000000" w:rsidP="00000000" w:rsidRDefault="00000000" w:rsidRPr="00000000" w14:paraId="0000017C">
      <w:pPr>
        <w:rPr/>
      </w:pPr>
      <w:r w:rsidDel="00000000" w:rsidR="00000000" w:rsidRPr="00000000">
        <w:rPr>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17D">
      <w:pPr>
        <w:rPr/>
      </w:pPr>
      <w:r w:rsidDel="00000000" w:rsidR="00000000" w:rsidRPr="00000000">
        <w:rPr>
          <w:b w:val="0"/>
          <w:color w:val="000000"/>
          <w:sz w:val="20"/>
          <w:szCs w:val="20"/>
          <w:rtl w:val="0"/>
        </w:rPr>
        <w:t xml:space="preserve">____________________________________________________________________________________</w:t>
      </w:r>
      <w:r w:rsidDel="00000000" w:rsidR="00000000" w:rsidRPr="00000000">
        <w:rPr>
          <w:rtl w:val="0"/>
        </w:rPr>
      </w:r>
    </w:p>
    <w:p w:rsidR="00000000" w:rsidDel="00000000" w:rsidP="00000000" w:rsidRDefault="00000000" w:rsidRPr="00000000" w14:paraId="0000017E">
      <w:pPr>
        <w:pStyle w:val="Heading1"/>
        <w:rPr/>
      </w:pPr>
      <w:bookmarkStart w:colFirst="0" w:colLast="0" w:name="_1ffboo5wjt8z" w:id="32"/>
      <w:bookmarkEnd w:id="32"/>
      <w:r w:rsidDel="00000000" w:rsidR="00000000" w:rsidRPr="00000000">
        <w:rPr>
          <w:rtl w:val="0"/>
        </w:rPr>
        <w:t xml:space="preserve">Appendix A. Acknowledgments</w:t>
      </w:r>
    </w:p>
    <w:p w:rsidR="00000000" w:rsidDel="00000000" w:rsidP="00000000" w:rsidRDefault="00000000" w:rsidRPr="00000000" w14:paraId="0000017F">
      <w:pPr>
        <w:rPr/>
      </w:pPr>
      <w:r w:rsidDel="00000000" w:rsidR="00000000" w:rsidRPr="00000000">
        <w:rPr>
          <w:rtl w:val="0"/>
        </w:rPr>
      </w:r>
    </w:p>
    <w:p w:rsidR="00000000" w:rsidDel="00000000" w:rsidP="00000000" w:rsidRDefault="00000000" w:rsidRPr="00000000" w14:paraId="00000180">
      <w:pPr>
        <w:rPr>
          <w:b w:val="1"/>
          <w:color w:val="3b0070"/>
        </w:rPr>
      </w:pPr>
      <w:r w:rsidDel="00000000" w:rsidR="00000000" w:rsidRPr="00000000">
        <w:rPr>
          <w:b w:val="1"/>
          <w:color w:val="3b0070"/>
          <w:rtl w:val="0"/>
        </w:rPr>
        <w:t xml:space="preserve">Participants:</w:t>
      </w:r>
    </w:p>
    <w:p w:rsidR="00000000" w:rsidDel="00000000" w:rsidP="00000000" w:rsidRDefault="00000000" w:rsidRPr="00000000" w14:paraId="00000181">
      <w:pPr>
        <w:rPr/>
      </w:pPr>
      <w:r w:rsidDel="00000000" w:rsidR="00000000" w:rsidRPr="00000000">
        <w:rPr>
          <w:rtl w:val="0"/>
        </w:rPr>
        <w:t xml:space="preserve">The following individuals were members of the OASIS CACAO Technical Committee during the creation of this document and their contributions are gratefully acknowledged:</w:t>
      </w:r>
    </w:p>
    <w:p w:rsidR="00000000" w:rsidDel="00000000" w:rsidP="00000000" w:rsidRDefault="00000000" w:rsidRPr="00000000" w14:paraId="00000182">
      <w:pPr>
        <w:rPr/>
      </w:pPr>
      <w:r w:rsidDel="00000000" w:rsidR="00000000" w:rsidRPr="00000000">
        <w:rPr>
          <w:rtl w:val="0"/>
        </w:rPr>
      </w:r>
    </w:p>
    <w:p w:rsidR="00000000" w:rsidDel="00000000" w:rsidP="00000000" w:rsidRDefault="00000000" w:rsidRPr="00000000" w14:paraId="00000183">
      <w:pPr>
        <w:ind w:left="720" w:firstLine="0"/>
        <w:rPr/>
      </w:pPr>
      <w:r w:rsidDel="00000000" w:rsidR="00000000" w:rsidRPr="00000000">
        <w:rPr>
          <w:rtl w:val="0"/>
        </w:rPr>
        <w:t xml:space="preserve">Anup Ghosh, Accenture</w:t>
      </w:r>
    </w:p>
    <w:p w:rsidR="00000000" w:rsidDel="00000000" w:rsidP="00000000" w:rsidRDefault="00000000" w:rsidRPr="00000000" w14:paraId="00000184">
      <w:pPr>
        <w:ind w:left="720" w:firstLine="0"/>
        <w:rPr/>
      </w:pPr>
      <w:r w:rsidDel="00000000" w:rsidR="00000000" w:rsidRPr="00000000">
        <w:rPr>
          <w:rtl w:val="0"/>
        </w:rPr>
        <w:t xml:space="preserve">Patrick Maroney, AT&amp;T</w:t>
      </w:r>
    </w:p>
    <w:p w:rsidR="00000000" w:rsidDel="00000000" w:rsidP="00000000" w:rsidRDefault="00000000" w:rsidRPr="00000000" w14:paraId="00000185">
      <w:pPr>
        <w:ind w:left="720" w:firstLine="0"/>
        <w:rPr/>
      </w:pPr>
      <w:r w:rsidDel="00000000" w:rsidR="00000000" w:rsidRPr="00000000">
        <w:rPr>
          <w:rtl w:val="0"/>
        </w:rPr>
        <w:t xml:space="preserve">Dean Thompson, Australia and New Zealand Banking Group (ANZ Bank)</w:t>
      </w:r>
    </w:p>
    <w:p w:rsidR="00000000" w:rsidDel="00000000" w:rsidP="00000000" w:rsidRDefault="00000000" w:rsidRPr="00000000" w14:paraId="00000186">
      <w:pPr>
        <w:ind w:left="720" w:firstLine="0"/>
        <w:rPr/>
      </w:pPr>
      <w:r w:rsidDel="00000000" w:rsidR="00000000" w:rsidRPr="00000000">
        <w:rPr>
          <w:rtl w:val="0"/>
        </w:rPr>
        <w:t xml:space="preserve">JR Jewczyk, Bank of Montreal</w:t>
      </w:r>
    </w:p>
    <w:p w:rsidR="00000000" w:rsidDel="00000000" w:rsidP="00000000" w:rsidRDefault="00000000" w:rsidRPr="00000000" w14:paraId="00000187">
      <w:pPr>
        <w:ind w:left="720" w:firstLine="0"/>
        <w:rPr/>
      </w:pPr>
      <w:r w:rsidDel="00000000" w:rsidR="00000000" w:rsidRPr="00000000">
        <w:rPr>
          <w:rtl w:val="0"/>
        </w:rPr>
        <w:t xml:space="preserve">Bret Jordan, Broadcom</w:t>
      </w:r>
    </w:p>
    <w:p w:rsidR="00000000" w:rsidDel="00000000" w:rsidP="00000000" w:rsidRDefault="00000000" w:rsidRPr="00000000" w14:paraId="00000188">
      <w:pPr>
        <w:ind w:left="720" w:firstLine="0"/>
        <w:rPr/>
      </w:pPr>
      <w:r w:rsidDel="00000000" w:rsidR="00000000" w:rsidRPr="00000000">
        <w:rPr>
          <w:rtl w:val="0"/>
        </w:rPr>
        <w:t xml:space="preserve">Arnaud Taddei, Broadcom</w:t>
      </w:r>
    </w:p>
    <w:p w:rsidR="00000000" w:rsidDel="00000000" w:rsidP="00000000" w:rsidRDefault="00000000" w:rsidRPr="00000000" w14:paraId="00000189">
      <w:pPr>
        <w:ind w:left="720" w:firstLine="0"/>
        <w:rPr/>
      </w:pPr>
      <w:r w:rsidDel="00000000" w:rsidR="00000000" w:rsidRPr="00000000">
        <w:rPr>
          <w:rtl w:val="0"/>
        </w:rPr>
        <w:t xml:space="preserve">Alexandre Dulaunoy, CIRCL</w:t>
      </w:r>
    </w:p>
    <w:p w:rsidR="00000000" w:rsidDel="00000000" w:rsidP="00000000" w:rsidRDefault="00000000" w:rsidRPr="00000000" w14:paraId="0000018A">
      <w:pPr>
        <w:ind w:left="720" w:firstLine="0"/>
        <w:rPr/>
      </w:pPr>
      <w:r w:rsidDel="00000000" w:rsidR="00000000" w:rsidRPr="00000000">
        <w:rPr>
          <w:rtl w:val="0"/>
        </w:rPr>
        <w:t xml:space="preserve">Omar Santos, Cisco Systems</w:t>
      </w:r>
    </w:p>
    <w:p w:rsidR="00000000" w:rsidDel="00000000" w:rsidP="00000000" w:rsidRDefault="00000000" w:rsidRPr="00000000" w14:paraId="0000018B">
      <w:pPr>
        <w:ind w:left="720" w:firstLine="0"/>
        <w:rPr/>
      </w:pPr>
      <w:r w:rsidDel="00000000" w:rsidR="00000000" w:rsidRPr="00000000">
        <w:rPr>
          <w:rtl w:val="0"/>
        </w:rPr>
        <w:t xml:space="preserve">Naasief Edross, Cisco Systems</w:t>
      </w:r>
    </w:p>
    <w:p w:rsidR="00000000" w:rsidDel="00000000" w:rsidP="00000000" w:rsidRDefault="00000000" w:rsidRPr="00000000" w14:paraId="0000018C">
      <w:pPr>
        <w:ind w:left="720" w:firstLine="0"/>
        <w:rPr/>
      </w:pPr>
      <w:r w:rsidDel="00000000" w:rsidR="00000000" w:rsidRPr="00000000">
        <w:rPr>
          <w:rtl w:val="0"/>
        </w:rPr>
        <w:t xml:space="preserve">Jyoti Verma, Cisco Systems</w:t>
      </w:r>
    </w:p>
    <w:p w:rsidR="00000000" w:rsidDel="00000000" w:rsidP="00000000" w:rsidRDefault="00000000" w:rsidRPr="00000000" w14:paraId="0000018D">
      <w:pPr>
        <w:ind w:left="720" w:firstLine="0"/>
        <w:rPr/>
      </w:pPr>
      <w:r w:rsidDel="00000000" w:rsidR="00000000" w:rsidRPr="00000000">
        <w:rPr>
          <w:rtl w:val="0"/>
        </w:rPr>
        <w:t xml:space="preserve">Arsalan Iqbal, CTM360</w:t>
      </w:r>
    </w:p>
    <w:p w:rsidR="00000000" w:rsidDel="00000000" w:rsidP="00000000" w:rsidRDefault="00000000" w:rsidRPr="00000000" w14:paraId="0000018E">
      <w:pPr>
        <w:ind w:left="720" w:firstLine="0"/>
        <w:rPr/>
      </w:pPr>
      <w:r w:rsidDel="00000000" w:rsidR="00000000" w:rsidRPr="00000000">
        <w:rPr>
          <w:rtl w:val="0"/>
        </w:rPr>
        <w:t xml:space="preserve">Avkash Kathiriya, Cyware Labs</w:t>
      </w:r>
    </w:p>
    <w:p w:rsidR="00000000" w:rsidDel="00000000" w:rsidP="00000000" w:rsidRDefault="00000000" w:rsidRPr="00000000" w14:paraId="0000018F">
      <w:pPr>
        <w:ind w:left="720" w:firstLine="0"/>
        <w:rPr/>
      </w:pPr>
      <w:r w:rsidDel="00000000" w:rsidR="00000000" w:rsidRPr="00000000">
        <w:rPr>
          <w:rtl w:val="0"/>
        </w:rPr>
        <w:t xml:space="preserve">Ryan Joyce, DarkLight, Inc.</w:t>
      </w:r>
    </w:p>
    <w:p w:rsidR="00000000" w:rsidDel="00000000" w:rsidP="00000000" w:rsidRDefault="00000000" w:rsidRPr="00000000" w14:paraId="00000190">
      <w:pPr>
        <w:ind w:left="720" w:firstLine="0"/>
        <w:rPr/>
      </w:pPr>
      <w:r w:rsidDel="00000000" w:rsidR="00000000" w:rsidRPr="00000000">
        <w:rPr>
          <w:rtl w:val="0"/>
        </w:rPr>
        <w:t xml:space="preserve">Ryan Hohimer, DarkLight, Inc.</w:t>
      </w:r>
    </w:p>
    <w:p w:rsidR="00000000" w:rsidDel="00000000" w:rsidP="00000000" w:rsidRDefault="00000000" w:rsidRPr="00000000" w14:paraId="00000191">
      <w:pPr>
        <w:ind w:left="720" w:firstLine="0"/>
        <w:rPr/>
      </w:pPr>
      <w:r w:rsidDel="00000000" w:rsidR="00000000" w:rsidRPr="00000000">
        <w:rPr>
          <w:rtl w:val="0"/>
        </w:rPr>
        <w:t xml:space="preserve">Shawn Riley, DarkLight, Inc.</w:t>
      </w:r>
    </w:p>
    <w:p w:rsidR="00000000" w:rsidDel="00000000" w:rsidP="00000000" w:rsidRDefault="00000000" w:rsidRPr="00000000" w14:paraId="00000192">
      <w:pPr>
        <w:ind w:left="720" w:firstLine="0"/>
        <w:rPr/>
      </w:pPr>
      <w:r w:rsidDel="00000000" w:rsidR="00000000" w:rsidRPr="00000000">
        <w:rPr>
          <w:rtl w:val="0"/>
        </w:rPr>
        <w:t xml:space="preserve">Preston Werntz, DHS Office of Cybersecurity and Communications (CS&amp;C)</w:t>
      </w:r>
    </w:p>
    <w:p w:rsidR="00000000" w:rsidDel="00000000" w:rsidP="00000000" w:rsidRDefault="00000000" w:rsidRPr="00000000" w14:paraId="00000193">
      <w:pPr>
        <w:ind w:left="720" w:firstLine="0"/>
        <w:rPr/>
      </w:pPr>
      <w:r w:rsidDel="00000000" w:rsidR="00000000" w:rsidRPr="00000000">
        <w:rPr>
          <w:rtl w:val="0"/>
        </w:rPr>
        <w:t xml:space="preserve">Michael Rosa, DHS Office of Cybersecurity and Communications (CS&amp;C)</w:t>
      </w:r>
    </w:p>
    <w:p w:rsidR="00000000" w:rsidDel="00000000" w:rsidP="00000000" w:rsidRDefault="00000000" w:rsidRPr="00000000" w14:paraId="00000194">
      <w:pPr>
        <w:ind w:left="720" w:firstLine="0"/>
        <w:rPr/>
      </w:pPr>
      <w:r w:rsidDel="00000000" w:rsidR="00000000" w:rsidRPr="00000000">
        <w:rPr>
          <w:rtl w:val="0"/>
        </w:rPr>
        <w:t xml:space="preserve">Marko Dragoljevic, EclecticIQ</w:t>
      </w:r>
    </w:p>
    <w:p w:rsidR="00000000" w:rsidDel="00000000" w:rsidP="00000000" w:rsidRDefault="00000000" w:rsidRPr="00000000" w14:paraId="00000195">
      <w:pPr>
        <w:ind w:left="720" w:firstLine="0"/>
        <w:rPr/>
      </w:pPr>
      <w:r w:rsidDel="00000000" w:rsidR="00000000" w:rsidRPr="00000000">
        <w:rPr>
          <w:rtl w:val="0"/>
        </w:rPr>
        <w:t xml:space="preserve">Christopher O'Brien, EclecticIQ</w:t>
      </w:r>
    </w:p>
    <w:p w:rsidR="00000000" w:rsidDel="00000000" w:rsidP="00000000" w:rsidRDefault="00000000" w:rsidRPr="00000000" w14:paraId="00000196">
      <w:pPr>
        <w:ind w:left="720" w:firstLine="0"/>
        <w:rPr/>
      </w:pPr>
      <w:r w:rsidDel="00000000" w:rsidR="00000000" w:rsidRPr="00000000">
        <w:rPr>
          <w:rtl w:val="0"/>
        </w:rPr>
        <w:t xml:space="preserve">Aukjan van Belkum, EclecticIQ</w:t>
      </w:r>
    </w:p>
    <w:p w:rsidR="00000000" w:rsidDel="00000000" w:rsidP="00000000" w:rsidRDefault="00000000" w:rsidRPr="00000000" w14:paraId="00000197">
      <w:pPr>
        <w:ind w:left="720" w:firstLine="0"/>
        <w:rPr/>
      </w:pPr>
      <w:r w:rsidDel="00000000" w:rsidR="00000000" w:rsidRPr="00000000">
        <w:rPr>
          <w:rtl w:val="0"/>
        </w:rPr>
        <w:t xml:space="preserve">Vincent Lopez, Financial Services Information Sharing and Analysis Center (FS-ISAC)</w:t>
      </w:r>
    </w:p>
    <w:p w:rsidR="00000000" w:rsidDel="00000000" w:rsidP="00000000" w:rsidRDefault="00000000" w:rsidRPr="00000000" w14:paraId="00000198">
      <w:pPr>
        <w:ind w:left="720" w:firstLine="0"/>
        <w:rPr/>
      </w:pPr>
      <w:r w:rsidDel="00000000" w:rsidR="00000000" w:rsidRPr="00000000">
        <w:rPr>
          <w:rtl w:val="0"/>
        </w:rPr>
        <w:t xml:space="preserve">Colby DeRodeff, FireEye, Inc.</w:t>
      </w:r>
    </w:p>
    <w:p w:rsidR="00000000" w:rsidDel="00000000" w:rsidP="00000000" w:rsidRDefault="00000000" w:rsidRPr="00000000" w14:paraId="00000199">
      <w:pPr>
        <w:ind w:left="720" w:firstLine="0"/>
        <w:rPr/>
      </w:pPr>
      <w:r w:rsidDel="00000000" w:rsidR="00000000" w:rsidRPr="00000000">
        <w:rPr>
          <w:rtl w:val="0"/>
        </w:rPr>
        <w:t xml:space="preserve">Henry Peltokangas, FireEye, Inc.</w:t>
      </w:r>
    </w:p>
    <w:p w:rsidR="00000000" w:rsidDel="00000000" w:rsidP="00000000" w:rsidRDefault="00000000" w:rsidRPr="00000000" w14:paraId="0000019A">
      <w:pPr>
        <w:ind w:left="720" w:firstLine="0"/>
        <w:rPr/>
      </w:pPr>
      <w:r w:rsidDel="00000000" w:rsidR="00000000" w:rsidRPr="00000000">
        <w:rPr>
          <w:rtl w:val="0"/>
        </w:rPr>
        <w:t xml:space="preserve">James Meck, FireEye, Inc.</w:t>
      </w:r>
    </w:p>
    <w:p w:rsidR="00000000" w:rsidDel="00000000" w:rsidP="00000000" w:rsidRDefault="00000000" w:rsidRPr="00000000" w14:paraId="0000019B">
      <w:pPr>
        <w:ind w:left="720" w:firstLine="0"/>
        <w:rPr/>
      </w:pPr>
      <w:r w:rsidDel="00000000" w:rsidR="00000000" w:rsidRPr="00000000">
        <w:rPr>
          <w:rtl w:val="0"/>
        </w:rPr>
        <w:t xml:space="preserve">Paul Patrick, FireEye, Inc.</w:t>
      </w:r>
    </w:p>
    <w:p w:rsidR="00000000" w:rsidDel="00000000" w:rsidP="00000000" w:rsidRDefault="00000000" w:rsidRPr="00000000" w14:paraId="0000019C">
      <w:pPr>
        <w:ind w:left="720" w:firstLine="0"/>
        <w:rPr/>
      </w:pPr>
      <w:r w:rsidDel="00000000" w:rsidR="00000000" w:rsidRPr="00000000">
        <w:rPr>
          <w:rtl w:val="0"/>
        </w:rPr>
        <w:t xml:space="preserve">Gerald Stueve, Fornetix</w:t>
      </w:r>
    </w:p>
    <w:p w:rsidR="00000000" w:rsidDel="00000000" w:rsidP="00000000" w:rsidRDefault="00000000" w:rsidRPr="00000000" w14:paraId="0000019D">
      <w:pPr>
        <w:ind w:left="720" w:firstLine="0"/>
        <w:rPr/>
      </w:pPr>
      <w:r w:rsidDel="00000000" w:rsidR="00000000" w:rsidRPr="00000000">
        <w:rPr>
          <w:rtl w:val="0"/>
        </w:rPr>
        <w:t xml:space="preserve">Ryusuke Masuoka, Fujitsu Limited</w:t>
      </w:r>
    </w:p>
    <w:p w:rsidR="00000000" w:rsidDel="00000000" w:rsidP="00000000" w:rsidRDefault="00000000" w:rsidRPr="00000000" w14:paraId="0000019E">
      <w:pPr>
        <w:ind w:left="720" w:firstLine="0"/>
        <w:rPr/>
      </w:pPr>
      <w:r w:rsidDel="00000000" w:rsidR="00000000" w:rsidRPr="00000000">
        <w:rPr>
          <w:rtl w:val="0"/>
        </w:rPr>
        <w:t xml:space="preserve">Toshitaka Satomi, Fujitsu Limited</w:t>
      </w:r>
    </w:p>
    <w:p w:rsidR="00000000" w:rsidDel="00000000" w:rsidP="00000000" w:rsidRDefault="00000000" w:rsidRPr="00000000" w14:paraId="0000019F">
      <w:pPr>
        <w:ind w:left="720" w:firstLine="0"/>
        <w:rPr/>
      </w:pPr>
      <w:r w:rsidDel="00000000" w:rsidR="00000000" w:rsidRPr="00000000">
        <w:rPr>
          <w:rtl w:val="0"/>
        </w:rPr>
        <w:t xml:space="preserve">Koji Yamada, Fujitsu Limited</w:t>
      </w:r>
    </w:p>
    <w:p w:rsidR="00000000" w:rsidDel="00000000" w:rsidP="00000000" w:rsidRDefault="00000000" w:rsidRPr="00000000" w14:paraId="000001A0">
      <w:pPr>
        <w:ind w:left="720" w:firstLine="0"/>
        <w:rPr/>
      </w:pPr>
      <w:r w:rsidDel="00000000" w:rsidR="00000000" w:rsidRPr="00000000">
        <w:rPr>
          <w:rtl w:val="0"/>
        </w:rPr>
        <w:t xml:space="preserve">Danny Martinez, G2, Inc.</w:t>
      </w:r>
    </w:p>
    <w:p w:rsidR="00000000" w:rsidDel="00000000" w:rsidP="00000000" w:rsidRDefault="00000000" w:rsidRPr="00000000" w14:paraId="000001A1">
      <w:pPr>
        <w:ind w:left="720" w:firstLine="0"/>
        <w:rPr/>
      </w:pPr>
      <w:r w:rsidDel="00000000" w:rsidR="00000000" w:rsidRPr="00000000">
        <w:rPr>
          <w:rtl w:val="0"/>
        </w:rPr>
        <w:t xml:space="preserve">Stephanie Hazlewood, IBM</w:t>
      </w:r>
    </w:p>
    <w:p w:rsidR="00000000" w:rsidDel="00000000" w:rsidP="00000000" w:rsidRDefault="00000000" w:rsidRPr="00000000" w14:paraId="000001A2">
      <w:pPr>
        <w:ind w:left="720" w:firstLine="0"/>
        <w:rPr/>
      </w:pPr>
      <w:r w:rsidDel="00000000" w:rsidR="00000000" w:rsidRPr="00000000">
        <w:rPr>
          <w:rtl w:val="0"/>
        </w:rPr>
        <w:t xml:space="preserve">Mahbod Tavallaee, IBM</w:t>
      </w:r>
    </w:p>
    <w:p w:rsidR="00000000" w:rsidDel="00000000" w:rsidP="00000000" w:rsidRDefault="00000000" w:rsidRPr="00000000" w14:paraId="000001A3">
      <w:pPr>
        <w:ind w:left="720" w:firstLine="0"/>
        <w:rPr/>
      </w:pPr>
      <w:r w:rsidDel="00000000" w:rsidR="00000000" w:rsidRPr="00000000">
        <w:rPr>
          <w:rtl w:val="0"/>
        </w:rPr>
        <w:t xml:space="preserve">Srinivas Tummalapenta, IBM</w:t>
      </w:r>
    </w:p>
    <w:p w:rsidR="00000000" w:rsidDel="00000000" w:rsidP="00000000" w:rsidRDefault="00000000" w:rsidRPr="00000000" w14:paraId="000001A4">
      <w:pPr>
        <w:ind w:left="720" w:firstLine="0"/>
        <w:rPr/>
      </w:pPr>
      <w:r w:rsidDel="00000000" w:rsidR="00000000" w:rsidRPr="00000000">
        <w:rPr>
          <w:rtl w:val="0"/>
        </w:rPr>
        <w:t xml:space="preserve">Emily Ratliff, IBM</w:t>
      </w:r>
    </w:p>
    <w:p w:rsidR="00000000" w:rsidDel="00000000" w:rsidP="00000000" w:rsidRDefault="00000000" w:rsidRPr="00000000" w14:paraId="000001A5">
      <w:pPr>
        <w:ind w:left="720" w:firstLine="0"/>
        <w:rPr/>
      </w:pPr>
      <w:r w:rsidDel="00000000" w:rsidR="00000000" w:rsidRPr="00000000">
        <w:rPr>
          <w:rtl w:val="0"/>
        </w:rPr>
        <w:t xml:space="preserve">Jason Keirstead, IBM</w:t>
      </w:r>
    </w:p>
    <w:p w:rsidR="00000000" w:rsidDel="00000000" w:rsidP="00000000" w:rsidRDefault="00000000" w:rsidRPr="00000000" w14:paraId="000001A6">
      <w:pPr>
        <w:ind w:left="720" w:firstLine="0"/>
        <w:rPr/>
      </w:pPr>
      <w:r w:rsidDel="00000000" w:rsidR="00000000" w:rsidRPr="00000000">
        <w:rPr>
          <w:rtl w:val="0"/>
        </w:rPr>
        <w:t xml:space="preserve">John Morris, IBM</w:t>
      </w:r>
    </w:p>
    <w:p w:rsidR="00000000" w:rsidDel="00000000" w:rsidP="00000000" w:rsidRDefault="00000000" w:rsidRPr="00000000" w14:paraId="000001A7">
      <w:pPr>
        <w:ind w:left="720" w:firstLine="0"/>
        <w:rPr/>
      </w:pPr>
      <w:r w:rsidDel="00000000" w:rsidR="00000000" w:rsidRPr="00000000">
        <w:rPr>
          <w:rtl w:val="0"/>
        </w:rPr>
        <w:t xml:space="preserve">Joerg Eschweiler, Individual</w:t>
      </w:r>
    </w:p>
    <w:p w:rsidR="00000000" w:rsidDel="00000000" w:rsidP="00000000" w:rsidRDefault="00000000" w:rsidRPr="00000000" w14:paraId="000001A8">
      <w:pPr>
        <w:ind w:left="720" w:firstLine="0"/>
        <w:rPr/>
      </w:pPr>
      <w:r w:rsidDel="00000000" w:rsidR="00000000" w:rsidRPr="00000000">
        <w:rPr>
          <w:rtl w:val="0"/>
        </w:rPr>
        <w:t xml:space="preserve">Terry MacDonald, Individual</w:t>
      </w:r>
    </w:p>
    <w:p w:rsidR="00000000" w:rsidDel="00000000" w:rsidP="00000000" w:rsidRDefault="00000000" w:rsidRPr="00000000" w14:paraId="000001A9">
      <w:pPr>
        <w:ind w:left="720" w:firstLine="0"/>
        <w:rPr/>
      </w:pPr>
      <w:r w:rsidDel="00000000" w:rsidR="00000000" w:rsidRPr="00000000">
        <w:rPr>
          <w:rtl w:val="0"/>
        </w:rPr>
        <w:t xml:space="preserve">Anil Saldanha, Individual</w:t>
      </w:r>
    </w:p>
    <w:p w:rsidR="00000000" w:rsidDel="00000000" w:rsidP="00000000" w:rsidRDefault="00000000" w:rsidRPr="00000000" w14:paraId="000001AA">
      <w:pPr>
        <w:ind w:left="720" w:firstLine="0"/>
        <w:rPr/>
      </w:pPr>
      <w:r w:rsidDel="00000000" w:rsidR="00000000" w:rsidRPr="00000000">
        <w:rPr>
          <w:rtl w:val="0"/>
        </w:rPr>
        <w:t xml:space="preserve">Frans Schippers, Individual</w:t>
      </w:r>
    </w:p>
    <w:p w:rsidR="00000000" w:rsidDel="00000000" w:rsidP="00000000" w:rsidRDefault="00000000" w:rsidRPr="00000000" w14:paraId="000001AB">
      <w:pPr>
        <w:ind w:left="720" w:firstLine="0"/>
        <w:rPr/>
      </w:pPr>
      <w:r w:rsidDel="00000000" w:rsidR="00000000" w:rsidRPr="00000000">
        <w:rPr>
          <w:rtl w:val="0"/>
        </w:rPr>
        <w:t xml:space="preserve">Rodger Frank, Johns Hopkins University Applied Physics Laboratory</w:t>
      </w:r>
    </w:p>
    <w:p w:rsidR="00000000" w:rsidDel="00000000" w:rsidP="00000000" w:rsidRDefault="00000000" w:rsidRPr="00000000" w14:paraId="000001AC">
      <w:pPr>
        <w:ind w:left="720" w:firstLine="0"/>
        <w:rPr/>
      </w:pPr>
      <w:r w:rsidDel="00000000" w:rsidR="00000000" w:rsidRPr="00000000">
        <w:rPr>
          <w:rtl w:val="0"/>
        </w:rPr>
        <w:t xml:space="preserve">Jorge Aviles, Johns Hopkins University Applied Physics Laboratory</w:t>
      </w:r>
    </w:p>
    <w:p w:rsidR="00000000" w:rsidDel="00000000" w:rsidP="00000000" w:rsidRDefault="00000000" w:rsidRPr="00000000" w14:paraId="000001AD">
      <w:pPr>
        <w:ind w:left="720" w:firstLine="0"/>
        <w:rPr/>
      </w:pPr>
      <w:r w:rsidDel="00000000" w:rsidR="00000000" w:rsidRPr="00000000">
        <w:rPr>
          <w:rtl w:val="0"/>
        </w:rPr>
        <w:t xml:space="preserve">Nam Le, Johns Hopkins University Applied Physics Laboratory</w:t>
      </w:r>
    </w:p>
    <w:p w:rsidR="00000000" w:rsidDel="00000000" w:rsidP="00000000" w:rsidRDefault="00000000" w:rsidRPr="00000000" w14:paraId="000001AE">
      <w:pPr>
        <w:ind w:left="720" w:firstLine="0"/>
        <w:rPr/>
      </w:pPr>
      <w:r w:rsidDel="00000000" w:rsidR="00000000" w:rsidRPr="00000000">
        <w:rPr>
          <w:rtl w:val="0"/>
        </w:rPr>
        <w:t xml:space="preserve">Tim Zhan, Johns Hopkins University Applied Physics Laboratory</w:t>
      </w:r>
    </w:p>
    <w:p w:rsidR="00000000" w:rsidDel="00000000" w:rsidP="00000000" w:rsidRDefault="00000000" w:rsidRPr="00000000" w14:paraId="000001AF">
      <w:pPr>
        <w:ind w:left="720" w:firstLine="0"/>
        <w:rPr/>
      </w:pPr>
      <w:r w:rsidDel="00000000" w:rsidR="00000000" w:rsidRPr="00000000">
        <w:rPr>
          <w:rtl w:val="0"/>
        </w:rPr>
        <w:t xml:space="preserve">Karin Marr, Johns Hopkins University Applied Physics Laboratory</w:t>
      </w:r>
    </w:p>
    <w:p w:rsidR="00000000" w:rsidDel="00000000" w:rsidP="00000000" w:rsidRDefault="00000000" w:rsidRPr="00000000" w14:paraId="000001B0">
      <w:pPr>
        <w:ind w:left="720" w:firstLine="0"/>
        <w:rPr/>
      </w:pPr>
      <w:r w:rsidDel="00000000" w:rsidR="00000000" w:rsidRPr="00000000">
        <w:rPr>
          <w:rtl w:val="0"/>
        </w:rPr>
        <w:t xml:space="preserve">Allan Thomson, LookingGlass</w:t>
      </w:r>
    </w:p>
    <w:p w:rsidR="00000000" w:rsidDel="00000000" w:rsidP="00000000" w:rsidRDefault="00000000" w:rsidRPr="00000000" w14:paraId="000001B1">
      <w:pPr>
        <w:ind w:left="720" w:firstLine="0"/>
        <w:rPr/>
      </w:pPr>
      <w:r w:rsidDel="00000000" w:rsidR="00000000" w:rsidRPr="00000000">
        <w:rPr>
          <w:rtl w:val="0"/>
        </w:rPr>
        <w:t xml:space="preserve">Chris Dahlheimer, LookingGlass</w:t>
      </w:r>
    </w:p>
    <w:p w:rsidR="00000000" w:rsidDel="00000000" w:rsidP="00000000" w:rsidRDefault="00000000" w:rsidRPr="00000000" w14:paraId="000001B2">
      <w:pPr>
        <w:ind w:left="720" w:firstLine="0"/>
        <w:rPr/>
      </w:pPr>
      <w:r w:rsidDel="00000000" w:rsidR="00000000" w:rsidRPr="00000000">
        <w:rPr>
          <w:rtl w:val="0"/>
        </w:rPr>
        <w:t xml:space="preserve">Jason Webb, LookingGlass</w:t>
      </w:r>
    </w:p>
    <w:p w:rsidR="00000000" w:rsidDel="00000000" w:rsidP="00000000" w:rsidRDefault="00000000" w:rsidRPr="00000000" w14:paraId="000001B3">
      <w:pPr>
        <w:ind w:left="720" w:firstLine="0"/>
        <w:rPr/>
      </w:pPr>
      <w:r w:rsidDel="00000000" w:rsidR="00000000" w:rsidRPr="00000000">
        <w:rPr>
          <w:rtl w:val="0"/>
        </w:rPr>
        <w:t xml:space="preserve">Ivan Kirillov, Mitre Corporation</w:t>
      </w:r>
    </w:p>
    <w:p w:rsidR="00000000" w:rsidDel="00000000" w:rsidP="00000000" w:rsidRDefault="00000000" w:rsidRPr="00000000" w14:paraId="000001B4">
      <w:pPr>
        <w:ind w:left="720" w:firstLine="0"/>
        <w:rPr/>
      </w:pPr>
      <w:r w:rsidDel="00000000" w:rsidR="00000000" w:rsidRPr="00000000">
        <w:rPr>
          <w:rtl w:val="0"/>
        </w:rPr>
        <w:t xml:space="preserve">Bob Natale, Mitre Corporation</w:t>
      </w:r>
    </w:p>
    <w:p w:rsidR="00000000" w:rsidDel="00000000" w:rsidP="00000000" w:rsidRDefault="00000000" w:rsidRPr="00000000" w14:paraId="000001B5">
      <w:pPr>
        <w:ind w:left="720" w:firstLine="0"/>
        <w:rPr/>
      </w:pPr>
      <w:r w:rsidDel="00000000" w:rsidR="00000000" w:rsidRPr="00000000">
        <w:rPr>
          <w:rtl w:val="0"/>
        </w:rPr>
        <w:t xml:space="preserve">David Kemp, National Security Agency</w:t>
      </w:r>
    </w:p>
    <w:p w:rsidR="00000000" w:rsidDel="00000000" w:rsidP="00000000" w:rsidRDefault="00000000" w:rsidRPr="00000000" w14:paraId="000001B6">
      <w:pPr>
        <w:ind w:left="720" w:firstLine="0"/>
        <w:rPr/>
      </w:pPr>
      <w:r w:rsidDel="00000000" w:rsidR="00000000" w:rsidRPr="00000000">
        <w:rPr>
          <w:rtl w:val="0"/>
        </w:rPr>
        <w:t xml:space="preserve">Daniel Dye, NC4</w:t>
      </w:r>
    </w:p>
    <w:p w:rsidR="00000000" w:rsidDel="00000000" w:rsidP="00000000" w:rsidRDefault="00000000" w:rsidRPr="00000000" w14:paraId="000001B7">
      <w:pPr>
        <w:ind w:left="720" w:firstLine="0"/>
        <w:rPr/>
      </w:pPr>
      <w:r w:rsidDel="00000000" w:rsidR="00000000" w:rsidRPr="00000000">
        <w:rPr>
          <w:rtl w:val="0"/>
        </w:rPr>
        <w:t xml:space="preserve">Hiroshi Takechi, NEC Corporation</w:t>
      </w:r>
    </w:p>
    <w:p w:rsidR="00000000" w:rsidDel="00000000" w:rsidP="00000000" w:rsidRDefault="00000000" w:rsidRPr="00000000" w14:paraId="000001B8">
      <w:pPr>
        <w:ind w:left="720" w:firstLine="0"/>
        <w:rPr/>
      </w:pPr>
      <w:r w:rsidDel="00000000" w:rsidR="00000000" w:rsidRPr="00000000">
        <w:rPr>
          <w:rtl w:val="0"/>
        </w:rPr>
        <w:t xml:space="preserve">Christian Hunt, New Context Services, Inc.</w:t>
      </w:r>
    </w:p>
    <w:p w:rsidR="00000000" w:rsidDel="00000000" w:rsidP="00000000" w:rsidRDefault="00000000" w:rsidRPr="00000000" w14:paraId="000001B9">
      <w:pPr>
        <w:ind w:left="720" w:firstLine="0"/>
        <w:rPr/>
      </w:pPr>
      <w:r w:rsidDel="00000000" w:rsidR="00000000" w:rsidRPr="00000000">
        <w:rPr>
          <w:rtl w:val="0"/>
        </w:rPr>
        <w:t xml:space="preserve">Andrew Storms, New Context Services, Inc.</w:t>
      </w:r>
    </w:p>
    <w:p w:rsidR="00000000" w:rsidDel="00000000" w:rsidP="00000000" w:rsidRDefault="00000000" w:rsidRPr="00000000" w14:paraId="000001BA">
      <w:pPr>
        <w:ind w:left="720" w:firstLine="0"/>
        <w:rPr/>
      </w:pPr>
      <w:r w:rsidDel="00000000" w:rsidR="00000000" w:rsidRPr="00000000">
        <w:rPr>
          <w:rtl w:val="0"/>
        </w:rPr>
        <w:t xml:space="preserve">Stephen Banghart, NIST</w:t>
      </w:r>
    </w:p>
    <w:p w:rsidR="00000000" w:rsidDel="00000000" w:rsidP="00000000" w:rsidRDefault="00000000" w:rsidRPr="00000000" w14:paraId="000001BB">
      <w:pPr>
        <w:ind w:left="720" w:firstLine="0"/>
        <w:rPr/>
      </w:pPr>
      <w:r w:rsidDel="00000000" w:rsidR="00000000" w:rsidRPr="00000000">
        <w:rPr>
          <w:rtl w:val="0"/>
        </w:rPr>
        <w:t xml:space="preserve">David Darnell, North American Energy Standards Board</w:t>
      </w:r>
    </w:p>
    <w:p w:rsidR="00000000" w:rsidDel="00000000" w:rsidP="00000000" w:rsidRDefault="00000000" w:rsidRPr="00000000" w14:paraId="000001BC">
      <w:pPr>
        <w:ind w:left="720" w:firstLine="0"/>
        <w:rPr/>
      </w:pPr>
      <w:r w:rsidDel="00000000" w:rsidR="00000000" w:rsidRPr="00000000">
        <w:rPr>
          <w:rtl w:val="0"/>
        </w:rPr>
        <w:t xml:space="preserve">Cheolho Lee, NSRI</w:t>
      </w:r>
    </w:p>
    <w:p w:rsidR="00000000" w:rsidDel="00000000" w:rsidP="00000000" w:rsidRDefault="00000000" w:rsidRPr="00000000" w14:paraId="000001BD">
      <w:pPr>
        <w:ind w:left="720" w:firstLine="0"/>
        <w:rPr/>
      </w:pPr>
      <w:r w:rsidDel="00000000" w:rsidR="00000000" w:rsidRPr="00000000">
        <w:rPr>
          <w:rtl w:val="0"/>
        </w:rPr>
        <w:t xml:space="preserve">Lior Kolnik, Palo Alto Networks</w:t>
      </w:r>
    </w:p>
    <w:p w:rsidR="00000000" w:rsidDel="00000000" w:rsidP="00000000" w:rsidRDefault="00000000" w:rsidRPr="00000000" w14:paraId="000001BE">
      <w:pPr>
        <w:ind w:left="720" w:firstLine="0"/>
        <w:rPr/>
      </w:pPr>
      <w:r w:rsidDel="00000000" w:rsidR="00000000" w:rsidRPr="00000000">
        <w:rPr>
          <w:rtl w:val="0"/>
        </w:rPr>
        <w:t xml:space="preserve">Duncan Sparrell, sFractal Consulting LLC</w:t>
      </w:r>
    </w:p>
    <w:p w:rsidR="00000000" w:rsidDel="00000000" w:rsidP="00000000" w:rsidRDefault="00000000" w:rsidRPr="00000000" w14:paraId="000001BF">
      <w:pPr>
        <w:ind w:left="720" w:firstLine="0"/>
        <w:rPr/>
      </w:pPr>
      <w:r w:rsidDel="00000000" w:rsidR="00000000" w:rsidRPr="00000000">
        <w:rPr>
          <w:rtl w:val="0"/>
        </w:rPr>
        <w:t xml:space="preserve">Tom Maier, Siemens AG</w:t>
      </w:r>
    </w:p>
    <w:p w:rsidR="00000000" w:rsidDel="00000000" w:rsidP="00000000" w:rsidRDefault="00000000" w:rsidRPr="00000000" w14:paraId="000001C0">
      <w:pPr>
        <w:ind w:left="720" w:firstLine="0"/>
        <w:rPr/>
      </w:pPr>
      <w:r w:rsidDel="00000000" w:rsidR="00000000" w:rsidRPr="00000000">
        <w:rPr>
          <w:rtl w:val="0"/>
        </w:rPr>
        <w:t xml:space="preserve">Marco Caselli, Siemens AG</w:t>
      </w:r>
    </w:p>
    <w:p w:rsidR="00000000" w:rsidDel="00000000" w:rsidP="00000000" w:rsidRDefault="00000000" w:rsidRPr="00000000" w14:paraId="000001C1">
      <w:pPr>
        <w:ind w:left="720" w:firstLine="0"/>
        <w:rPr/>
      </w:pPr>
      <w:r w:rsidDel="00000000" w:rsidR="00000000" w:rsidRPr="00000000">
        <w:rPr>
          <w:rtl w:val="0"/>
        </w:rPr>
        <w:t xml:space="preserve">Curtis Kostrosky, Symantec Corp.</w:t>
      </w:r>
    </w:p>
    <w:p w:rsidR="00000000" w:rsidDel="00000000" w:rsidP="00000000" w:rsidRDefault="00000000" w:rsidRPr="00000000" w14:paraId="000001C2">
      <w:pPr>
        <w:ind w:left="720" w:firstLine="0"/>
        <w:rPr/>
      </w:pPr>
      <w:r w:rsidDel="00000000" w:rsidR="00000000" w:rsidRPr="00000000">
        <w:rPr>
          <w:rtl w:val="0"/>
        </w:rPr>
        <w:t xml:space="preserve">JP Bourget, Syncurity</w:t>
      </w:r>
    </w:p>
    <w:p w:rsidR="00000000" w:rsidDel="00000000" w:rsidP="00000000" w:rsidRDefault="00000000" w:rsidRPr="00000000" w14:paraId="000001C3">
      <w:pPr>
        <w:ind w:left="720" w:firstLine="0"/>
        <w:rPr/>
      </w:pPr>
      <w:r w:rsidDel="00000000" w:rsidR="00000000" w:rsidRPr="00000000">
        <w:rPr>
          <w:rtl w:val="0"/>
        </w:rPr>
        <w:t xml:space="preserve">Andrew Pendergast, ThreatConnect, Inc.</w:t>
      </w:r>
    </w:p>
    <w:p w:rsidR="00000000" w:rsidDel="00000000" w:rsidP="00000000" w:rsidRDefault="00000000" w:rsidRPr="00000000" w14:paraId="000001C4">
      <w:pPr>
        <w:ind w:left="720" w:firstLine="0"/>
        <w:rPr/>
      </w:pPr>
      <w:r w:rsidDel="00000000" w:rsidR="00000000" w:rsidRPr="00000000">
        <w:rPr>
          <w:rtl w:val="0"/>
        </w:rPr>
        <w:t xml:space="preserve">Ryan Trost, ThreatQuotient, Inc.</w:t>
      </w:r>
    </w:p>
    <w:p w:rsidR="00000000" w:rsidDel="00000000" w:rsidP="00000000" w:rsidRDefault="00000000" w:rsidRPr="00000000" w14:paraId="000001C5">
      <w:pPr>
        <w:ind w:left="720" w:firstLine="0"/>
        <w:rPr/>
      </w:pPr>
      <w:r w:rsidDel="00000000" w:rsidR="00000000" w:rsidRPr="00000000">
        <w:rPr>
          <w:rtl w:val="0"/>
        </w:rPr>
        <w:t xml:space="preserve">Franck Quinard, TIBCO Software Inc.</w:t>
      </w:r>
    </w:p>
    <w:p w:rsidR="00000000" w:rsidDel="00000000" w:rsidP="00000000" w:rsidRDefault="00000000" w:rsidRPr="00000000" w14:paraId="000001C6">
      <w:pPr>
        <w:ind w:left="720" w:firstLine="0"/>
        <w:rPr/>
      </w:pPr>
      <w:r w:rsidDel="00000000" w:rsidR="00000000" w:rsidRPr="00000000">
        <w:rPr>
          <w:rtl w:val="0"/>
        </w:rPr>
        <w:t xml:space="preserve">Toby Considine, University of North Carolina at Chapel Hill</w:t>
      </w:r>
    </w:p>
    <w:p w:rsidR="00000000" w:rsidDel="00000000" w:rsidP="00000000" w:rsidRDefault="00000000" w:rsidRPr="00000000" w14:paraId="000001C7">
      <w:pPr>
        <w:ind w:left="720" w:firstLine="0"/>
        <w:rPr/>
      </w:pPr>
      <w:r w:rsidDel="00000000" w:rsidR="00000000" w:rsidRPr="00000000">
        <w:rPr>
          <w:rtl w:val="0"/>
        </w:rPr>
        <w:t xml:space="preserve">Vasileios Mavroeidis, University of Oslo</w:t>
      </w:r>
    </w:p>
    <w:p w:rsidR="00000000" w:rsidDel="00000000" w:rsidP="00000000" w:rsidRDefault="00000000" w:rsidRPr="00000000" w14:paraId="000001C8">
      <w:pPr>
        <w:rPr/>
      </w:pPr>
      <w:r w:rsidDel="00000000" w:rsidR="00000000" w:rsidRPr="00000000">
        <w:rPr>
          <w:rtl w:val="0"/>
        </w:rPr>
      </w:r>
    </w:p>
    <w:p w:rsidR="00000000" w:rsidDel="00000000" w:rsidP="00000000" w:rsidRDefault="00000000" w:rsidRPr="00000000" w14:paraId="000001C9">
      <w:pPr>
        <w:rPr/>
      </w:pPr>
      <w:r w:rsidDel="00000000" w:rsidR="00000000" w:rsidRPr="00000000">
        <w:rPr>
          <w:rtl w:val="0"/>
        </w:rPr>
      </w:r>
    </w:p>
    <w:p w:rsidR="00000000" w:rsidDel="00000000" w:rsidP="00000000" w:rsidRDefault="00000000" w:rsidRPr="00000000" w14:paraId="000001CA">
      <w:pPr>
        <w:rPr/>
      </w:pPr>
      <w:r w:rsidDel="00000000" w:rsidR="00000000" w:rsidRPr="00000000">
        <w:br w:type="page"/>
      </w:r>
      <w:r w:rsidDel="00000000" w:rsidR="00000000" w:rsidRPr="00000000">
        <w:rPr>
          <w:rtl w:val="0"/>
        </w:rPr>
      </w:r>
    </w:p>
    <w:p w:rsidR="00000000" w:rsidDel="00000000" w:rsidP="00000000" w:rsidRDefault="00000000" w:rsidRPr="00000000" w14:paraId="000001CB">
      <w:pPr>
        <w:rPr/>
      </w:pPr>
      <w:r w:rsidDel="00000000" w:rsidR="00000000" w:rsidRPr="00000000">
        <w:rPr>
          <w:rtl w:val="0"/>
        </w:rPr>
        <w:t xml:space="preserve">​____________________________________________________________________________________</w:t>
      </w:r>
    </w:p>
    <w:p w:rsidR="00000000" w:rsidDel="00000000" w:rsidP="00000000" w:rsidRDefault="00000000" w:rsidRPr="00000000" w14:paraId="000001CC">
      <w:pPr>
        <w:pStyle w:val="Heading1"/>
        <w:rPr/>
      </w:pPr>
      <w:bookmarkStart w:colFirst="0" w:colLast="0" w:name="_hfy40z48wjpi" w:id="33"/>
      <w:bookmarkEnd w:id="33"/>
      <w:r w:rsidDel="00000000" w:rsidR="00000000" w:rsidRPr="00000000">
        <w:rPr>
          <w:rtl w:val="0"/>
        </w:rPr>
        <w:t xml:space="preserve">Appendix B. Revision History</w:t>
      </w:r>
    </w:p>
    <w:p w:rsidR="00000000" w:rsidDel="00000000" w:rsidP="00000000" w:rsidRDefault="00000000" w:rsidRPr="00000000" w14:paraId="000001CD">
      <w:pPr>
        <w:rPr/>
      </w:pPr>
      <w:r w:rsidDel="00000000" w:rsidR="00000000" w:rsidRPr="00000000">
        <w:rPr>
          <w:rtl w:val="0"/>
        </w:rPr>
      </w:r>
    </w:p>
    <w:tbl>
      <w:tblPr>
        <w:tblStyle w:val="Table13"/>
        <w:tblW w:w="9120.0" w:type="dxa"/>
        <w:jc w:val="left"/>
        <w:tblInd w:w="100.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605"/>
        <w:gridCol w:w="1485"/>
        <w:gridCol w:w="2100"/>
        <w:gridCol w:w="3930"/>
        <w:tblGridChange w:id="0">
          <w:tblGrid>
            <w:gridCol w:w="1605"/>
            <w:gridCol w:w="1485"/>
            <w:gridCol w:w="2100"/>
            <w:gridCol w:w="3930"/>
          </w:tblGrid>
        </w:tblGridChange>
      </w:tblGrid>
      <w:t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CE">
            <w:pPr>
              <w:jc w:val="center"/>
              <w:rPr>
                <w:b w:val="1"/>
              </w:rPr>
            </w:pPr>
            <w:r w:rsidDel="00000000" w:rsidR="00000000" w:rsidRPr="00000000">
              <w:rPr>
                <w:b w:val="1"/>
                <w:rtl w:val="0"/>
              </w:rPr>
              <w:t xml:space="preserve">Revision</w:t>
            </w:r>
          </w:p>
        </w:tc>
        <w:tc>
          <w:tcPr>
            <w:tcBorders>
              <w:top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CF">
            <w:pPr>
              <w:jc w:val="center"/>
              <w:rPr>
                <w:b w:val="1"/>
              </w:rPr>
            </w:pPr>
            <w:r w:rsidDel="00000000" w:rsidR="00000000" w:rsidRPr="00000000">
              <w:rPr>
                <w:b w:val="1"/>
                <w:rtl w:val="0"/>
              </w:rPr>
              <w:t xml:space="preserve">Date</w:t>
            </w:r>
          </w:p>
        </w:tc>
        <w:tc>
          <w:tcPr>
            <w:tcBorders>
              <w:top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D0">
            <w:pPr>
              <w:jc w:val="center"/>
              <w:rPr>
                <w:b w:val="1"/>
              </w:rPr>
            </w:pPr>
            <w:r w:rsidDel="00000000" w:rsidR="00000000" w:rsidRPr="00000000">
              <w:rPr>
                <w:b w:val="1"/>
                <w:rtl w:val="0"/>
              </w:rPr>
              <w:t xml:space="preserve">Editor</w:t>
            </w:r>
          </w:p>
        </w:tc>
        <w:tc>
          <w:tcPr>
            <w:tcBorders>
              <w:top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D1">
            <w:pPr>
              <w:rPr>
                <w:b w:val="1"/>
              </w:rPr>
            </w:pPr>
            <w:r w:rsidDel="00000000" w:rsidR="00000000" w:rsidRPr="00000000">
              <w:rPr>
                <w:b w:val="1"/>
                <w:rtl w:val="0"/>
              </w:rPr>
              <w:t xml:space="preserve">Changes Made</w:t>
            </w:r>
          </w:p>
        </w:tc>
      </w:tr>
      <w:tr>
        <w:tc>
          <w:tcPr>
            <w:tcBorders>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D2">
            <w:pPr>
              <w:widowControl w:val="0"/>
              <w:rPr/>
            </w:pPr>
            <w:r w:rsidDel="00000000" w:rsidR="00000000" w:rsidRPr="00000000">
              <w:rPr>
                <w:rtl w:val="0"/>
              </w:rPr>
              <w:t xml:space="preserve">01</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D3">
            <w:pPr>
              <w:widowControl w:val="0"/>
              <w:rPr/>
            </w:pPr>
            <w:r w:rsidDel="00000000" w:rsidR="00000000" w:rsidRPr="00000000">
              <w:rPr>
                <w:rtl w:val="0"/>
              </w:rPr>
              <w:t xml:space="preserve">2020-01-27</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D4">
            <w:pPr>
              <w:rPr/>
            </w:pPr>
            <w:r w:rsidDel="00000000" w:rsidR="00000000" w:rsidRPr="00000000">
              <w:rPr>
                <w:rtl w:val="0"/>
              </w:rPr>
              <w:t xml:space="preserve">Bret Jordan,</w:t>
            </w:r>
          </w:p>
          <w:p w:rsidR="00000000" w:rsidDel="00000000" w:rsidP="00000000" w:rsidRDefault="00000000" w:rsidRPr="00000000" w14:paraId="000001D5">
            <w:pPr>
              <w:rPr/>
            </w:pPr>
            <w:r w:rsidDel="00000000" w:rsidR="00000000" w:rsidRPr="00000000">
              <w:rPr>
                <w:rtl w:val="0"/>
              </w:rPr>
              <w:t xml:space="preserve">Allan Thomson</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D6">
            <w:pPr>
              <w:widowControl w:val="0"/>
              <w:rPr/>
            </w:pPr>
            <w:r w:rsidDel="00000000" w:rsidR="00000000" w:rsidRPr="00000000">
              <w:rPr>
                <w:rtl w:val="0"/>
              </w:rPr>
              <w:t xml:space="preserve">Initial version</w:t>
            </w:r>
          </w:p>
        </w:tc>
      </w:tr>
    </w:tbl>
    <w:p w:rsidR="00000000" w:rsidDel="00000000" w:rsidP="00000000" w:rsidRDefault="00000000" w:rsidRPr="00000000" w14:paraId="000001D7">
      <w:pPr>
        <w:rPr/>
      </w:pPr>
      <w:r w:rsidDel="00000000" w:rsidR="00000000" w:rsidRPr="00000000">
        <w:rPr>
          <w:rtl w:val="0"/>
        </w:rPr>
      </w:r>
    </w:p>
    <w:sectPr>
      <w:footerReference r:id="rId30"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D8">
    <w:pPr>
      <w:rPr>
        <w:sz w:val="16"/>
        <w:szCs w:val="16"/>
      </w:rPr>
    </w:pPr>
    <w:r w:rsidDel="00000000" w:rsidR="00000000" w:rsidRPr="00000000">
      <w:rPr>
        <w:sz w:val="16"/>
        <w:szCs w:val="16"/>
        <w:rtl w:val="0"/>
      </w:rPr>
      <w:t xml:space="preserve">playbook-requirements-v1.0-wd01</w:t>
      <w:tab/>
      <w:tab/>
      <w:tab/>
      <w:tab/>
      <w:tab/>
      <w:tab/>
      <w:tab/>
      <w:tab/>
      <w:t xml:space="preserve">     28 January 2020</w:t>
    </w:r>
  </w:p>
  <w:p w:rsidR="00000000" w:rsidDel="00000000" w:rsidP="00000000" w:rsidRDefault="00000000" w:rsidRPr="00000000" w14:paraId="000001D9">
    <w:pPr>
      <w:rPr>
        <w:sz w:val="16"/>
        <w:szCs w:val="16"/>
      </w:rPr>
    </w:pPr>
    <w:r w:rsidDel="00000000" w:rsidR="00000000" w:rsidRPr="00000000">
      <w:rPr>
        <w:sz w:val="16"/>
        <w:szCs w:val="16"/>
        <w:rtl w:val="0"/>
      </w:rPr>
      <w:t xml:space="preserve">Non-Standards Track</w:t>
      <w:tab/>
      <w:tab/>
      <w:t xml:space="preserve">Copyright © OASIS Open 2020. All Rights Reserved.</w:t>
      <w:tab/>
      <w:tab/>
      <w:t xml:space="preserve">        Page </w:t>
    </w:r>
    <w:r w:rsidDel="00000000" w:rsidR="00000000" w:rsidRPr="00000000">
      <w:rPr>
        <w:sz w:val="16"/>
        <w:szCs w:val="16"/>
      </w:rPr>
      <w:fldChar w:fldCharType="begin"/>
      <w:instrText xml:space="preserve">PAGE</w:instrText>
      <w:fldChar w:fldCharType="separate"/>
      <w:fldChar w:fldCharType="end"/>
    </w:r>
    <w:r w:rsidDel="00000000" w:rsidR="00000000" w:rsidRPr="00000000">
      <w:rPr>
        <w:sz w:val="16"/>
        <w:szCs w:val="16"/>
        <w:rtl w:val="0"/>
      </w:rPr>
      <w:t xml:space="preserve"> of </w:t>
    </w:r>
    <w:r w:rsidDel="00000000" w:rsidR="00000000" w:rsidRPr="00000000">
      <w:rPr>
        <w:sz w:val="16"/>
        <w:szCs w:val="16"/>
      </w:rPr>
      <w:fldChar w:fldCharType="begin"/>
      <w:instrText xml:space="preserve">NUMPAGES</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line="240" w:lineRule="auto"/>
    </w:pPr>
    <w:rPr>
      <w:b w:val="1"/>
      <w:color w:val="3b0070"/>
      <w:sz w:val="36"/>
      <w:szCs w:val="36"/>
    </w:rPr>
  </w:style>
  <w:style w:type="paragraph" w:styleId="Heading2">
    <w:name w:val="heading 2"/>
    <w:basedOn w:val="Normal"/>
    <w:next w:val="Normal"/>
    <w:pPr>
      <w:keepNext w:val="1"/>
      <w:keepLines w:val="1"/>
      <w:spacing w:after="120" w:before="360" w:lineRule="auto"/>
    </w:pPr>
    <w:rPr>
      <w:b w:val="1"/>
      <w:color w:val="3b0070"/>
      <w:sz w:val="28"/>
      <w:szCs w:val="28"/>
    </w:rPr>
  </w:style>
  <w:style w:type="paragraph" w:styleId="Heading3">
    <w:name w:val="heading 3"/>
    <w:basedOn w:val="Normal"/>
    <w:next w:val="Normal"/>
    <w:pPr>
      <w:keepNext w:val="1"/>
      <w:keepLines w:val="1"/>
      <w:spacing w:after="80" w:before="320" w:lineRule="auto"/>
    </w:pPr>
    <w:rPr>
      <w:b w:val="1"/>
      <w:color w:val="3b0070"/>
      <w:sz w:val="26"/>
      <w:szCs w:val="26"/>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line="240" w:lineRule="auto"/>
    </w:pPr>
    <w:rPr>
      <w:b w:val="1"/>
      <w:color w:val="3b0070"/>
      <w:sz w:val="28"/>
      <w:szCs w:val="28"/>
    </w:rPr>
  </w:style>
  <w:style w:type="paragraph" w:styleId="Subtitle">
    <w:name w:val="Subtitle"/>
    <w:basedOn w:val="Normal"/>
    <w:next w:val="Normal"/>
    <w:pPr>
      <w:keepNext w:val="1"/>
      <w:keepLines w:val="1"/>
      <w:spacing w:before="120" w:line="240" w:lineRule="auto"/>
    </w:pPr>
    <w:rPr>
      <w:b w:val="1"/>
      <w:color w:val="3b007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oasis-open.org/committees/cacao/ipr.php" TargetMode="External"/><Relationship Id="rId22" Type="http://schemas.openxmlformats.org/officeDocument/2006/relationships/hyperlink" Target="https://docs.oasis-open.org/cacao/playbook-requirements/v1.0/cnd01/playbook-requirements-v1.0-cnd01.docx" TargetMode="External"/><Relationship Id="rId21" Type="http://schemas.openxmlformats.org/officeDocument/2006/relationships/hyperlink" Target="https://www.oasis-open.org/policies-guidelines/tc-process#wpComponentsCompLang" TargetMode="External"/><Relationship Id="rId24" Type="http://schemas.openxmlformats.org/officeDocument/2006/relationships/hyperlink" Target="https://www.oasis-open.org/policies-guidelines/ipr" TargetMode="External"/><Relationship Id="rId23" Type="http://schemas.openxmlformats.org/officeDocument/2006/relationships/hyperlink" Target="https://docs.oasis-open.org/cacao/playbook-requirements/v1.0/playbook-requirements-v1.0.docx"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athomson@lookingglasscyber.com" TargetMode="External"/><Relationship Id="rId26" Type="http://schemas.openxmlformats.org/officeDocument/2006/relationships/hyperlink" Target="https://www.oasis-open.org/policies-guidelines/ipr#Non-Assertion-Mode" TargetMode="External"/><Relationship Id="rId25" Type="http://schemas.openxmlformats.org/officeDocument/2006/relationships/hyperlink" Target="http://www.rfc-editor.org/info/rfc4122" TargetMode="External"/><Relationship Id="rId28" Type="http://schemas.openxmlformats.org/officeDocument/2006/relationships/hyperlink" Target="https://www.oasis-open.org/committees/cti/ipr.php" TargetMode="External"/><Relationship Id="rId27" Type="http://schemas.openxmlformats.org/officeDocument/2006/relationships/hyperlink" Target="https://www.oasis-open.org/policies-guidelines/ipr" TargetMode="External"/><Relationship Id="rId5" Type="http://schemas.openxmlformats.org/officeDocument/2006/relationships/styles" Target="styles.xml"/><Relationship Id="rId6" Type="http://schemas.openxmlformats.org/officeDocument/2006/relationships/hyperlink" Target="https://www.oasis-open.org/committees/cacao/" TargetMode="External"/><Relationship Id="rId29" Type="http://schemas.openxmlformats.org/officeDocument/2006/relationships/image" Target="media/image1.jpg"/><Relationship Id="rId7" Type="http://schemas.openxmlformats.org/officeDocument/2006/relationships/hyperlink" Target="mailto:bret.jordan@broadcom.com" TargetMode="External"/><Relationship Id="rId8" Type="http://schemas.openxmlformats.org/officeDocument/2006/relationships/hyperlink" Target="https://www.broadcom.com" TargetMode="External"/><Relationship Id="rId30" Type="http://schemas.openxmlformats.org/officeDocument/2006/relationships/footer" Target="footer1.xml"/><Relationship Id="rId11" Type="http://schemas.openxmlformats.org/officeDocument/2006/relationships/hyperlink" Target="mailto:bret.jordan@broadcom.com" TargetMode="External"/><Relationship Id="rId10" Type="http://schemas.openxmlformats.org/officeDocument/2006/relationships/hyperlink" Target="https://www.lookingglasscyber.com/" TargetMode="External"/><Relationship Id="rId13" Type="http://schemas.openxmlformats.org/officeDocument/2006/relationships/hyperlink" Target="mailto:athomson@lookingglasscyber.com" TargetMode="External"/><Relationship Id="rId12" Type="http://schemas.openxmlformats.org/officeDocument/2006/relationships/hyperlink" Target="https://www.broadcom.com" TargetMode="External"/><Relationship Id="rId15" Type="http://schemas.openxmlformats.org/officeDocument/2006/relationships/hyperlink" Target="https://tools.ietf.org/html/draft-jordan-cacao-introduction-01" TargetMode="External"/><Relationship Id="rId14" Type="http://schemas.openxmlformats.org/officeDocument/2006/relationships/hyperlink" Target="https://www.lookingglasscyber.com/" TargetMode="External"/><Relationship Id="rId17" Type="http://schemas.openxmlformats.org/officeDocument/2006/relationships/hyperlink" Target="https://www.oasis-open.org/policies-guidelines/tc-process#committeeDraft" TargetMode="External"/><Relationship Id="rId16" Type="http://schemas.openxmlformats.org/officeDocument/2006/relationships/hyperlink" Target="https://www.oasis-open.org/policies-guidelines/tc-process#dWorkingDraft" TargetMode="External"/><Relationship Id="rId19" Type="http://schemas.openxmlformats.org/officeDocument/2006/relationships/hyperlink" Target="https://www.oasis-open.org/policies-guidelines/ipr#Non-Assertion-Mode" TargetMode="External"/><Relationship Id="rId18" Type="http://schemas.openxmlformats.org/officeDocument/2006/relationships/hyperlink" Target="https://www.oasis-open.org/policies-guidelines/tc-process#standApprovProce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