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252" w:rsidRDefault="00FC5E31">
      <w:r>
        <w:t>Comments on NAPSG Implementation Guidance</w:t>
      </w:r>
    </w:p>
    <w:p w:rsidR="00FC5E31" w:rsidRDefault="00FC5E31">
      <w:r>
        <w:t>Needs to add EDXL-</w:t>
      </w:r>
      <w:proofErr w:type="gramStart"/>
      <w:r>
        <w:t>TEP(</w:t>
      </w:r>
      <w:proofErr w:type="gramEnd"/>
      <w:r>
        <w:t>Tracking of Emergency Patients)</w:t>
      </w:r>
    </w:p>
    <w:p w:rsidR="00CA2463" w:rsidRDefault="00CA2463" w:rsidP="00CA2463">
      <w:pPr>
        <w:pStyle w:val="Default"/>
        <w:rPr>
          <w:sz w:val="23"/>
          <w:szCs w:val="23"/>
        </w:rPr>
      </w:pPr>
      <w:r>
        <w:rPr>
          <w:b/>
          <w:bCs/>
          <w:sz w:val="23"/>
          <w:szCs w:val="23"/>
        </w:rPr>
        <w:t xml:space="preserve">2.1.6 Demographic Trends – New Standards Needed </w:t>
      </w:r>
    </w:p>
    <w:p w:rsidR="00FC5E31" w:rsidRDefault="00CA2463" w:rsidP="00CA2463">
      <w:pPr>
        <w:rPr>
          <w:sz w:val="23"/>
          <w:szCs w:val="23"/>
        </w:rPr>
      </w:pPr>
      <w:r>
        <w:rPr>
          <w:sz w:val="23"/>
          <w:szCs w:val="23"/>
        </w:rPr>
        <w:t>New standards would need to be developed to capture the demographic trending information called in the Situational Awareness Requirements in the standards survey. This information is not currently available in the existing Mutual Aid and Crisis Management standards.</w:t>
      </w:r>
    </w:p>
    <w:p w:rsidR="00CA2463" w:rsidRDefault="00CA2463" w:rsidP="00CA2463">
      <w:pPr>
        <w:pStyle w:val="Default"/>
        <w:rPr>
          <w:sz w:val="23"/>
          <w:szCs w:val="23"/>
        </w:rPr>
      </w:pPr>
      <w:r>
        <w:rPr>
          <w:b/>
          <w:bCs/>
          <w:sz w:val="23"/>
          <w:szCs w:val="23"/>
        </w:rPr>
        <w:t xml:space="preserve">2.2.1 Mutual Aid Requests – EDXL RM / NIEM EMLC </w:t>
      </w:r>
    </w:p>
    <w:p w:rsidR="00CA2463" w:rsidRDefault="00CA2463" w:rsidP="00CA2463">
      <w:pPr>
        <w:rPr>
          <w:sz w:val="23"/>
          <w:szCs w:val="23"/>
        </w:rPr>
      </w:pPr>
      <w:r>
        <w:rPr>
          <w:sz w:val="23"/>
          <w:szCs w:val="23"/>
        </w:rPr>
        <w:t xml:space="preserve">If making mutual aid requests and responses are required, then depending on the duration of the required aid and formality of the aid request either the OASIS EDXL Resource Management (RM) standard </w:t>
      </w:r>
      <w:proofErr w:type="spellStart"/>
      <w:r w:rsidRPr="00CA2463">
        <w:rPr>
          <w:sz w:val="23"/>
          <w:szCs w:val="23"/>
          <w:u w:val="single"/>
        </w:rPr>
        <w:t>AND</w:t>
      </w:r>
      <w:r>
        <w:rPr>
          <w:sz w:val="23"/>
          <w:szCs w:val="23"/>
        </w:rPr>
        <w:t>/</w:t>
      </w:r>
      <w:r>
        <w:rPr>
          <w:sz w:val="23"/>
          <w:szCs w:val="23"/>
        </w:rPr>
        <w:t>or</w:t>
      </w:r>
      <w:proofErr w:type="spellEnd"/>
      <w:r>
        <w:rPr>
          <w:sz w:val="23"/>
          <w:szCs w:val="23"/>
        </w:rPr>
        <w:t xml:space="preserve"> NIEM EMLC standard is recommended.</w:t>
      </w:r>
    </w:p>
    <w:p w:rsidR="00CA2463" w:rsidRDefault="00CA2463" w:rsidP="00CA2463">
      <w:pPr>
        <w:pStyle w:val="Default"/>
        <w:rPr>
          <w:sz w:val="28"/>
          <w:szCs w:val="28"/>
        </w:rPr>
      </w:pPr>
      <w:proofErr w:type="gramStart"/>
      <w:r>
        <w:rPr>
          <w:b/>
          <w:bCs/>
          <w:sz w:val="28"/>
          <w:szCs w:val="28"/>
        </w:rPr>
        <w:t>3.2 HTTP Branch Workflow</w:t>
      </w:r>
      <w:proofErr w:type="gramEnd"/>
      <w:r>
        <w:rPr>
          <w:b/>
          <w:bCs/>
          <w:sz w:val="28"/>
          <w:szCs w:val="28"/>
        </w:rPr>
        <w:t xml:space="preserve"> </w:t>
      </w:r>
    </w:p>
    <w:p w:rsidR="00CA2463" w:rsidRDefault="00CA2463" w:rsidP="00CA2463">
      <w:pPr>
        <w:pStyle w:val="Default"/>
        <w:rPr>
          <w:sz w:val="23"/>
          <w:szCs w:val="23"/>
        </w:rPr>
      </w:pPr>
      <w:r>
        <w:rPr>
          <w:sz w:val="23"/>
          <w:szCs w:val="23"/>
        </w:rPr>
        <w:t xml:space="preserve">The HTTP workflow branch asks a series of questions about how the information will be shared. They are broken down in table 5 below. </w:t>
      </w:r>
    </w:p>
    <w:tbl>
      <w:tblPr>
        <w:tblW w:w="0" w:type="auto"/>
        <w:tblBorders>
          <w:top w:val="nil"/>
          <w:left w:val="nil"/>
          <w:bottom w:val="nil"/>
          <w:right w:val="nil"/>
        </w:tblBorders>
        <w:tblLayout w:type="fixed"/>
        <w:tblLook w:val="0000" w:firstRow="0" w:lastRow="0" w:firstColumn="0" w:lastColumn="0" w:noHBand="0" w:noVBand="0"/>
      </w:tblPr>
      <w:tblGrid>
        <w:gridCol w:w="4575"/>
        <w:gridCol w:w="4575"/>
      </w:tblGrid>
      <w:tr w:rsidR="00CA2463">
        <w:tblPrEx>
          <w:tblCellMar>
            <w:top w:w="0" w:type="dxa"/>
            <w:bottom w:w="0" w:type="dxa"/>
          </w:tblCellMar>
        </w:tblPrEx>
        <w:trPr>
          <w:trHeight w:val="110"/>
        </w:trPr>
        <w:tc>
          <w:tcPr>
            <w:tcW w:w="4575" w:type="dxa"/>
          </w:tcPr>
          <w:p w:rsidR="00CA2463" w:rsidRDefault="00CA2463">
            <w:pPr>
              <w:pStyle w:val="Default"/>
              <w:rPr>
                <w:sz w:val="22"/>
                <w:szCs w:val="22"/>
              </w:rPr>
            </w:pPr>
            <w:r>
              <w:rPr>
                <w:i/>
                <w:iCs/>
                <w:sz w:val="18"/>
                <w:szCs w:val="18"/>
              </w:rPr>
              <w:t xml:space="preserve">Table 3 – HTTP Workflow Questions </w:t>
            </w:r>
            <w:r>
              <w:rPr>
                <w:b/>
                <w:bCs/>
                <w:sz w:val="22"/>
                <w:szCs w:val="22"/>
              </w:rPr>
              <w:t xml:space="preserve">Workflow Questions </w:t>
            </w:r>
          </w:p>
        </w:tc>
        <w:tc>
          <w:tcPr>
            <w:tcW w:w="4575" w:type="dxa"/>
          </w:tcPr>
          <w:p w:rsidR="00CA2463" w:rsidRDefault="00CA2463">
            <w:pPr>
              <w:pStyle w:val="Default"/>
              <w:rPr>
                <w:sz w:val="22"/>
                <w:szCs w:val="22"/>
              </w:rPr>
            </w:pPr>
            <w:r>
              <w:rPr>
                <w:b/>
                <w:bCs/>
                <w:sz w:val="22"/>
                <w:szCs w:val="22"/>
              </w:rPr>
              <w:t xml:space="preserve">Explanation </w:t>
            </w:r>
          </w:p>
        </w:tc>
      </w:tr>
      <w:tr w:rsidR="00CA2463">
        <w:tblPrEx>
          <w:tblCellMar>
            <w:top w:w="0" w:type="dxa"/>
            <w:bottom w:w="0" w:type="dxa"/>
          </w:tblCellMar>
        </w:tblPrEx>
        <w:trPr>
          <w:trHeight w:val="248"/>
        </w:trPr>
        <w:tc>
          <w:tcPr>
            <w:tcW w:w="4575" w:type="dxa"/>
          </w:tcPr>
          <w:p w:rsidR="00CA2463" w:rsidRDefault="00CA2463">
            <w:pPr>
              <w:pStyle w:val="Default"/>
              <w:rPr>
                <w:sz w:val="22"/>
                <w:szCs w:val="22"/>
              </w:rPr>
            </w:pPr>
            <w:r>
              <w:rPr>
                <w:b/>
                <w:bCs/>
                <w:sz w:val="22"/>
                <w:szCs w:val="22"/>
              </w:rPr>
              <w:t xml:space="preserve">Uses TLS </w:t>
            </w:r>
          </w:p>
        </w:tc>
        <w:tc>
          <w:tcPr>
            <w:tcW w:w="4575" w:type="dxa"/>
          </w:tcPr>
          <w:p w:rsidR="00CA2463" w:rsidRDefault="00CA2463">
            <w:pPr>
              <w:pStyle w:val="Default"/>
              <w:rPr>
                <w:sz w:val="22"/>
                <w:szCs w:val="22"/>
              </w:rPr>
            </w:pPr>
            <w:r>
              <w:rPr>
                <w:sz w:val="22"/>
                <w:szCs w:val="22"/>
              </w:rPr>
              <w:t xml:space="preserve">TLS stands for Transport Layer Security and is the current cryptographic protocol for securing network traffic while in transit. </w:t>
            </w:r>
          </w:p>
        </w:tc>
      </w:tr>
      <w:tr w:rsidR="00CA2463">
        <w:tblPrEx>
          <w:tblCellMar>
            <w:top w:w="0" w:type="dxa"/>
            <w:bottom w:w="0" w:type="dxa"/>
          </w:tblCellMar>
        </w:tblPrEx>
        <w:trPr>
          <w:trHeight w:val="243"/>
        </w:trPr>
        <w:tc>
          <w:tcPr>
            <w:tcW w:w="4575" w:type="dxa"/>
          </w:tcPr>
          <w:p w:rsidR="00CA2463" w:rsidRDefault="00CA2463">
            <w:pPr>
              <w:pStyle w:val="Default"/>
              <w:rPr>
                <w:sz w:val="22"/>
                <w:szCs w:val="22"/>
              </w:rPr>
            </w:pPr>
            <w:r>
              <w:rPr>
                <w:b/>
                <w:bCs/>
                <w:sz w:val="22"/>
                <w:szCs w:val="22"/>
              </w:rPr>
              <w:t xml:space="preserve">Has an API Defined </w:t>
            </w:r>
          </w:p>
        </w:tc>
        <w:tc>
          <w:tcPr>
            <w:tcW w:w="4575" w:type="dxa"/>
          </w:tcPr>
          <w:p w:rsidR="00CA2463" w:rsidRDefault="00CA2463">
            <w:pPr>
              <w:pStyle w:val="Default"/>
              <w:rPr>
                <w:sz w:val="22"/>
                <w:szCs w:val="22"/>
              </w:rPr>
            </w:pPr>
            <w:r>
              <w:rPr>
                <w:sz w:val="22"/>
                <w:szCs w:val="22"/>
              </w:rPr>
              <w:t xml:space="preserve">API stands for Application Programming Interface. It defines the methods and information needed to interface to a system. </w:t>
            </w:r>
          </w:p>
        </w:tc>
      </w:tr>
      <w:tr w:rsidR="00CA2463">
        <w:tblPrEx>
          <w:tblCellMar>
            <w:top w:w="0" w:type="dxa"/>
            <w:bottom w:w="0" w:type="dxa"/>
          </w:tblCellMar>
        </w:tblPrEx>
        <w:trPr>
          <w:trHeight w:val="249"/>
        </w:trPr>
        <w:tc>
          <w:tcPr>
            <w:tcW w:w="4575" w:type="dxa"/>
          </w:tcPr>
          <w:p w:rsidR="00CA2463" w:rsidRDefault="00CA2463">
            <w:pPr>
              <w:pStyle w:val="Default"/>
              <w:rPr>
                <w:sz w:val="22"/>
                <w:szCs w:val="22"/>
              </w:rPr>
            </w:pPr>
            <w:r>
              <w:rPr>
                <w:b/>
                <w:bCs/>
                <w:sz w:val="22"/>
                <w:szCs w:val="22"/>
              </w:rPr>
              <w:t xml:space="preserve">Is Accessible </w:t>
            </w:r>
          </w:p>
        </w:tc>
        <w:tc>
          <w:tcPr>
            <w:tcW w:w="4575" w:type="dxa"/>
          </w:tcPr>
          <w:p w:rsidR="00CA2463" w:rsidRDefault="00CA2463">
            <w:pPr>
              <w:pStyle w:val="Default"/>
              <w:rPr>
                <w:sz w:val="22"/>
                <w:szCs w:val="22"/>
              </w:rPr>
            </w:pPr>
            <w:r>
              <w:rPr>
                <w:sz w:val="22"/>
                <w:szCs w:val="22"/>
              </w:rPr>
              <w:t xml:space="preserve">How accessible is the system? Can it be accessed from the internet? </w:t>
            </w:r>
          </w:p>
        </w:tc>
      </w:tr>
      <w:tr w:rsidR="00CA2463">
        <w:tblPrEx>
          <w:tblCellMar>
            <w:top w:w="0" w:type="dxa"/>
            <w:bottom w:w="0" w:type="dxa"/>
          </w:tblCellMar>
        </w:tblPrEx>
        <w:trPr>
          <w:trHeight w:val="244"/>
        </w:trPr>
        <w:tc>
          <w:tcPr>
            <w:tcW w:w="4575" w:type="dxa"/>
          </w:tcPr>
          <w:p w:rsidR="00CA2463" w:rsidRDefault="00CA2463">
            <w:pPr>
              <w:pStyle w:val="Default"/>
              <w:rPr>
                <w:sz w:val="22"/>
                <w:szCs w:val="22"/>
              </w:rPr>
            </w:pPr>
            <w:r>
              <w:rPr>
                <w:b/>
                <w:bCs/>
                <w:sz w:val="22"/>
                <w:szCs w:val="22"/>
              </w:rPr>
              <w:t xml:space="preserve">Uses XML or JSON </w:t>
            </w:r>
          </w:p>
        </w:tc>
        <w:tc>
          <w:tcPr>
            <w:tcW w:w="4575" w:type="dxa"/>
          </w:tcPr>
          <w:p w:rsidR="00CA2463" w:rsidRDefault="00CA2463">
            <w:pPr>
              <w:pStyle w:val="Default"/>
              <w:rPr>
                <w:sz w:val="22"/>
                <w:szCs w:val="22"/>
              </w:rPr>
            </w:pPr>
            <w:r>
              <w:rPr>
                <w:sz w:val="22"/>
                <w:szCs w:val="22"/>
              </w:rPr>
              <w:t xml:space="preserve">XML and JSON are two of the most widely used data formats. This is how the information is structured in a message or file. </w:t>
            </w:r>
          </w:p>
        </w:tc>
      </w:tr>
      <w:tr w:rsidR="00CA2463">
        <w:tblPrEx>
          <w:tblCellMar>
            <w:top w:w="0" w:type="dxa"/>
            <w:bottom w:w="0" w:type="dxa"/>
          </w:tblCellMar>
        </w:tblPrEx>
        <w:trPr>
          <w:trHeight w:val="249"/>
        </w:trPr>
        <w:tc>
          <w:tcPr>
            <w:tcW w:w="4575" w:type="dxa"/>
          </w:tcPr>
          <w:p w:rsidR="00CA2463" w:rsidRDefault="00CA2463">
            <w:pPr>
              <w:pStyle w:val="Default"/>
              <w:rPr>
                <w:sz w:val="22"/>
                <w:szCs w:val="22"/>
              </w:rPr>
            </w:pPr>
            <w:r>
              <w:rPr>
                <w:b/>
                <w:bCs/>
                <w:sz w:val="22"/>
                <w:szCs w:val="22"/>
              </w:rPr>
              <w:t xml:space="preserve">Uses DE to wrap other standards </w:t>
            </w:r>
          </w:p>
        </w:tc>
        <w:tc>
          <w:tcPr>
            <w:tcW w:w="4575" w:type="dxa"/>
          </w:tcPr>
          <w:p w:rsidR="00CA2463" w:rsidRDefault="00CA2463">
            <w:pPr>
              <w:pStyle w:val="Default"/>
              <w:rPr>
                <w:sz w:val="22"/>
                <w:szCs w:val="22"/>
              </w:rPr>
            </w:pPr>
            <w:r>
              <w:rPr>
                <w:sz w:val="22"/>
                <w:szCs w:val="22"/>
              </w:rPr>
              <w:t xml:space="preserve">Does the system use the OASIS EDXL DE standard to transport information? </w:t>
            </w:r>
          </w:p>
        </w:tc>
      </w:tr>
    </w:tbl>
    <w:p w:rsidR="00CA2463" w:rsidRDefault="00CA2463" w:rsidP="00CA2463"/>
    <w:p w:rsidR="00CA2463" w:rsidRDefault="00CA2463" w:rsidP="00CA2463">
      <w:r>
        <w:t>We should inform NAPSG-Rebecca that we are providing alternative JSON Schema representations of all of our standards and specifications derived directly from the normative XSD of the specifications.</w:t>
      </w:r>
      <w:bookmarkStart w:id="0" w:name="_GoBack"/>
      <w:bookmarkEnd w:id="0"/>
    </w:p>
    <w:sectPr w:rsidR="00CA2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E31"/>
    <w:rsid w:val="00A00252"/>
    <w:rsid w:val="00A82D0E"/>
    <w:rsid w:val="00CA2463"/>
    <w:rsid w:val="00FC5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246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246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 Brooks</dc:creator>
  <cp:lastModifiedBy>Rex Brooks</cp:lastModifiedBy>
  <cp:revision>2</cp:revision>
  <dcterms:created xsi:type="dcterms:W3CDTF">2020-04-14T03:30:00Z</dcterms:created>
  <dcterms:modified xsi:type="dcterms:W3CDTF">2020-04-14T04:03:00Z</dcterms:modified>
</cp:coreProperties>
</file>