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7D898" w14:textId="6F753F24" w:rsidR="00701D2B" w:rsidRPr="00CB4DAE" w:rsidRDefault="00CB4DAE">
      <w:pPr>
        <w:rPr>
          <w:b/>
          <w:bCs/>
        </w:rPr>
      </w:pPr>
      <w:r w:rsidRPr="00CB4DAE">
        <w:rPr>
          <w:b/>
          <w:bCs/>
        </w:rPr>
        <w:t>Electronic Court Filing v4.1 Public Review Feedback</w:t>
      </w:r>
    </w:p>
    <w:p w14:paraId="64425532" w14:textId="344945BE" w:rsidR="00CB4DAE" w:rsidRDefault="00CB4DAE" w:rsidP="00CB4DAE">
      <w:pPr>
        <w:spacing w:after="0"/>
        <w:rPr>
          <w:sz w:val="20"/>
          <w:szCs w:val="20"/>
        </w:rPr>
      </w:pPr>
    </w:p>
    <w:p w14:paraId="67B4CDE4" w14:textId="783D39FD" w:rsidR="005B0CAF" w:rsidRDefault="005B0CAF" w:rsidP="005B0CAF">
      <w:pPr>
        <w:spacing w:after="0"/>
        <w:rPr>
          <w:sz w:val="20"/>
          <w:szCs w:val="20"/>
        </w:rPr>
      </w:pPr>
      <w:r>
        <w:rPr>
          <w:sz w:val="20"/>
          <w:szCs w:val="20"/>
        </w:rPr>
        <w:t xml:space="preserve">This document provides </w:t>
      </w:r>
      <w:r w:rsidR="0082307A">
        <w:rPr>
          <w:sz w:val="20"/>
          <w:szCs w:val="20"/>
        </w:rPr>
        <w:t xml:space="preserve">public </w:t>
      </w:r>
      <w:r>
        <w:rPr>
          <w:sz w:val="20"/>
          <w:szCs w:val="20"/>
        </w:rPr>
        <w:t>review Feedback to the Electronic Court Filing (ECF) v4.1 portion of the first Public Review announced Feb. 2, 2023.</w:t>
      </w:r>
    </w:p>
    <w:p w14:paraId="7A055B8B" w14:textId="3A95D550" w:rsidR="00CB4DAE" w:rsidRDefault="00CB4DAE" w:rsidP="00CB4DAE">
      <w:pPr>
        <w:spacing w:after="0"/>
        <w:rPr>
          <w:sz w:val="20"/>
          <w:szCs w:val="20"/>
        </w:rPr>
      </w:pPr>
    </w:p>
    <w:p w14:paraId="2125349B" w14:textId="2B5FF048" w:rsidR="00CB4DAE" w:rsidRDefault="00CB4DAE" w:rsidP="00CB4DAE">
      <w:pPr>
        <w:spacing w:after="0"/>
        <w:rPr>
          <w:sz w:val="20"/>
          <w:szCs w:val="20"/>
        </w:rPr>
      </w:pPr>
    </w:p>
    <w:p w14:paraId="1A91C90F" w14:textId="45AEE7DD" w:rsidR="00CB4DAE" w:rsidRDefault="00AF09EF" w:rsidP="00CB4DAE">
      <w:pPr>
        <w:spacing w:after="0"/>
        <w:rPr>
          <w:sz w:val="20"/>
          <w:szCs w:val="20"/>
        </w:rPr>
      </w:pPr>
      <w:r>
        <w:rPr>
          <w:sz w:val="20"/>
          <w:szCs w:val="20"/>
        </w:rPr>
        <w:t xml:space="preserve">1. </w:t>
      </w:r>
      <w:r w:rsidR="00F71F01">
        <w:rPr>
          <w:sz w:val="20"/>
          <w:szCs w:val="20"/>
        </w:rPr>
        <w:t>T</w:t>
      </w:r>
      <w:r>
        <w:rPr>
          <w:sz w:val="20"/>
          <w:szCs w:val="20"/>
        </w:rPr>
        <w:t xml:space="preserve">he xsd folder </w:t>
      </w:r>
      <w:r w:rsidR="00093A15">
        <w:rPr>
          <w:sz w:val="20"/>
          <w:szCs w:val="20"/>
        </w:rPr>
        <w:t>includes</w:t>
      </w:r>
      <w:r>
        <w:rPr>
          <w:sz w:val="20"/>
          <w:szCs w:val="20"/>
        </w:rPr>
        <w:t xml:space="preserve"> wrappers.xsd, wrappers-2.xsd, and wrappers-old.xsd.</w:t>
      </w:r>
    </w:p>
    <w:p w14:paraId="38210796" w14:textId="662CCFE5" w:rsidR="007A0BEC" w:rsidRDefault="007A0BEC" w:rsidP="00CB4DAE">
      <w:pPr>
        <w:spacing w:after="0"/>
        <w:rPr>
          <w:sz w:val="20"/>
          <w:szCs w:val="20"/>
        </w:rPr>
      </w:pPr>
    </w:p>
    <w:p w14:paraId="60306C31" w14:textId="0DF65594" w:rsidR="007A0BEC" w:rsidRDefault="00AF049D" w:rsidP="000E2881">
      <w:pPr>
        <w:spacing w:after="0"/>
        <w:ind w:left="270"/>
        <w:rPr>
          <w:sz w:val="20"/>
          <w:szCs w:val="20"/>
        </w:rPr>
      </w:pPr>
      <w:r>
        <w:rPr>
          <w:sz w:val="20"/>
          <w:szCs w:val="20"/>
        </w:rPr>
        <w:t xml:space="preserve">Recommendation: </w:t>
      </w:r>
      <w:r w:rsidR="007A0BEC">
        <w:rPr>
          <w:sz w:val="20"/>
          <w:szCs w:val="20"/>
        </w:rPr>
        <w:t>Only wrappers.xsd should be provided, wrappers-2.xsd and wrappers-old.xsd should be removed.</w:t>
      </w:r>
    </w:p>
    <w:p w14:paraId="7DBDD0EE" w14:textId="77777777" w:rsidR="00093A15" w:rsidRDefault="00093A15" w:rsidP="00F71F01">
      <w:pPr>
        <w:spacing w:after="0"/>
        <w:ind w:left="180"/>
        <w:rPr>
          <w:sz w:val="20"/>
          <w:szCs w:val="20"/>
        </w:rPr>
      </w:pPr>
    </w:p>
    <w:p w14:paraId="27F55177" w14:textId="0943109D" w:rsidR="007A0BEC" w:rsidRDefault="007A0BEC" w:rsidP="00CB4DAE">
      <w:pPr>
        <w:spacing w:after="0"/>
        <w:rPr>
          <w:sz w:val="20"/>
          <w:szCs w:val="20"/>
        </w:rPr>
      </w:pPr>
    </w:p>
    <w:p w14:paraId="085A296A" w14:textId="77777777" w:rsidR="00CC1E42" w:rsidRDefault="007A0BEC" w:rsidP="00CB4DAE">
      <w:pPr>
        <w:spacing w:after="0"/>
        <w:rPr>
          <w:sz w:val="20"/>
          <w:szCs w:val="20"/>
        </w:rPr>
      </w:pPr>
      <w:r>
        <w:rPr>
          <w:sz w:val="20"/>
          <w:szCs w:val="20"/>
        </w:rPr>
        <w:t xml:space="preserve">2. In wrappers.xsd, clean-up file header comments. </w:t>
      </w:r>
    </w:p>
    <w:p w14:paraId="66356493" w14:textId="77777777" w:rsidR="00CC1E42" w:rsidRDefault="00CC1E42" w:rsidP="00CB4DAE">
      <w:pPr>
        <w:spacing w:after="0"/>
        <w:rPr>
          <w:sz w:val="20"/>
          <w:szCs w:val="20"/>
        </w:rPr>
      </w:pPr>
    </w:p>
    <w:p w14:paraId="6CE0FB00" w14:textId="3B5E7EB9" w:rsidR="007A0BEC" w:rsidRDefault="00AF049D" w:rsidP="00CC1E42">
      <w:pPr>
        <w:spacing w:after="0"/>
        <w:ind w:left="270"/>
        <w:rPr>
          <w:sz w:val="20"/>
          <w:szCs w:val="20"/>
        </w:rPr>
      </w:pPr>
      <w:r>
        <w:rPr>
          <w:sz w:val="20"/>
          <w:szCs w:val="20"/>
        </w:rPr>
        <w:t xml:space="preserve">Recommendation: </w:t>
      </w:r>
      <w:r w:rsidR="007A0BEC">
        <w:rPr>
          <w:sz w:val="20"/>
          <w:szCs w:val="20"/>
        </w:rPr>
        <w:t>Lines 2 to 62 should be deleted.</w:t>
      </w:r>
    </w:p>
    <w:p w14:paraId="42C7D092" w14:textId="77777777" w:rsidR="00093A15" w:rsidRDefault="00093A15" w:rsidP="00CB4DAE">
      <w:pPr>
        <w:spacing w:after="0"/>
        <w:rPr>
          <w:sz w:val="20"/>
          <w:szCs w:val="20"/>
        </w:rPr>
      </w:pPr>
    </w:p>
    <w:p w14:paraId="1D361660" w14:textId="3F052C54" w:rsidR="007A0BEC" w:rsidRDefault="007A0BEC" w:rsidP="00CB4DAE">
      <w:pPr>
        <w:spacing w:after="0"/>
        <w:rPr>
          <w:sz w:val="20"/>
          <w:szCs w:val="20"/>
        </w:rPr>
      </w:pPr>
    </w:p>
    <w:p w14:paraId="448268FC" w14:textId="6269B40C" w:rsidR="007A0BEC" w:rsidRDefault="00F71F01" w:rsidP="00CB4DAE">
      <w:pPr>
        <w:spacing w:after="0"/>
        <w:rPr>
          <w:sz w:val="20"/>
          <w:szCs w:val="20"/>
        </w:rPr>
      </w:pPr>
      <w:r>
        <w:rPr>
          <w:sz w:val="20"/>
          <w:szCs w:val="20"/>
        </w:rPr>
        <w:t xml:space="preserve">3. In Related Work, as </w:t>
      </w:r>
      <w:r w:rsidR="0039566C">
        <w:rPr>
          <w:sz w:val="20"/>
          <w:szCs w:val="20"/>
        </w:rPr>
        <w:t>“</w:t>
      </w:r>
      <w:r>
        <w:rPr>
          <w:sz w:val="20"/>
          <w:szCs w:val="20"/>
        </w:rPr>
        <w:t>replaced or superseded</w:t>
      </w:r>
      <w:r w:rsidR="0039566C">
        <w:rPr>
          <w:sz w:val="20"/>
          <w:szCs w:val="20"/>
        </w:rPr>
        <w:t>”</w:t>
      </w:r>
      <w:r>
        <w:rPr>
          <w:sz w:val="20"/>
          <w:szCs w:val="20"/>
        </w:rPr>
        <w:t>, ECF v4.01 Errata 01 appears to be missing.</w:t>
      </w:r>
    </w:p>
    <w:p w14:paraId="512C9EBC" w14:textId="37D27414" w:rsidR="00842EEE" w:rsidRDefault="00842EEE" w:rsidP="00CB4DAE">
      <w:pPr>
        <w:spacing w:after="0"/>
        <w:rPr>
          <w:sz w:val="20"/>
          <w:szCs w:val="20"/>
        </w:rPr>
      </w:pPr>
    </w:p>
    <w:p w14:paraId="1FBBFEAE" w14:textId="4CEEF3E3" w:rsidR="00842EEE" w:rsidRDefault="0039566C" w:rsidP="00842EEE">
      <w:pPr>
        <w:spacing w:after="0"/>
        <w:ind w:left="270"/>
        <w:rPr>
          <w:sz w:val="20"/>
          <w:szCs w:val="20"/>
        </w:rPr>
      </w:pPr>
      <w:r>
        <w:rPr>
          <w:sz w:val="20"/>
          <w:szCs w:val="20"/>
        </w:rPr>
        <w:t>Also n</w:t>
      </w:r>
      <w:r w:rsidR="00842EEE">
        <w:rPr>
          <w:sz w:val="20"/>
          <w:szCs w:val="20"/>
        </w:rPr>
        <w:t>ote that the ECF v4.01 Errata02 specification does not specify ECF v4.01 Errata 01 as replaced or superseded, so there is no chain of replacement/supersession that include</w:t>
      </w:r>
      <w:r>
        <w:rPr>
          <w:sz w:val="20"/>
          <w:szCs w:val="20"/>
        </w:rPr>
        <w:t>s</w:t>
      </w:r>
      <w:r w:rsidR="00842EEE">
        <w:rPr>
          <w:sz w:val="20"/>
          <w:szCs w:val="20"/>
        </w:rPr>
        <w:t xml:space="preserve"> ECF v4.01 Errata 0</w:t>
      </w:r>
      <w:r w:rsidR="00185A8D">
        <w:rPr>
          <w:sz w:val="20"/>
          <w:szCs w:val="20"/>
        </w:rPr>
        <w:t>1</w:t>
      </w:r>
      <w:r w:rsidR="00842EEE">
        <w:rPr>
          <w:sz w:val="20"/>
          <w:szCs w:val="20"/>
        </w:rPr>
        <w:t>.</w:t>
      </w:r>
    </w:p>
    <w:p w14:paraId="060F3052" w14:textId="0FBD8000" w:rsidR="00AF049D" w:rsidRDefault="00AF049D" w:rsidP="00842EEE">
      <w:pPr>
        <w:spacing w:after="0"/>
        <w:ind w:left="270"/>
        <w:rPr>
          <w:sz w:val="20"/>
          <w:szCs w:val="20"/>
        </w:rPr>
      </w:pPr>
    </w:p>
    <w:p w14:paraId="73E43B0A" w14:textId="0E862A9A" w:rsidR="00AF049D" w:rsidRDefault="00AF049D" w:rsidP="00842EEE">
      <w:pPr>
        <w:spacing w:after="0"/>
        <w:ind w:left="270"/>
        <w:rPr>
          <w:sz w:val="20"/>
          <w:szCs w:val="20"/>
        </w:rPr>
      </w:pPr>
      <w:r>
        <w:rPr>
          <w:sz w:val="20"/>
          <w:szCs w:val="20"/>
        </w:rPr>
        <w:t>Recommendation: Include ECF v4.01 Errata 01 as replaced or superseded.</w:t>
      </w:r>
    </w:p>
    <w:p w14:paraId="605C3876" w14:textId="77777777" w:rsidR="00AF049D" w:rsidRDefault="00AF049D" w:rsidP="00CB4DAE">
      <w:pPr>
        <w:spacing w:after="0"/>
        <w:rPr>
          <w:sz w:val="20"/>
          <w:szCs w:val="20"/>
        </w:rPr>
      </w:pPr>
    </w:p>
    <w:p w14:paraId="1DEFDF0E" w14:textId="470CA098" w:rsidR="00CB4DAE" w:rsidRDefault="00CB4DAE" w:rsidP="00CB4DAE">
      <w:pPr>
        <w:spacing w:after="0"/>
        <w:rPr>
          <w:sz w:val="20"/>
          <w:szCs w:val="20"/>
        </w:rPr>
      </w:pPr>
    </w:p>
    <w:p w14:paraId="7501D381" w14:textId="77777777" w:rsidR="005B761F" w:rsidRDefault="00F71F01" w:rsidP="00CB4DAE">
      <w:pPr>
        <w:spacing w:after="0"/>
        <w:rPr>
          <w:sz w:val="20"/>
          <w:szCs w:val="20"/>
        </w:rPr>
      </w:pPr>
      <w:r>
        <w:rPr>
          <w:sz w:val="20"/>
          <w:szCs w:val="20"/>
        </w:rPr>
        <w:t xml:space="preserve">4. </w:t>
      </w:r>
      <w:r w:rsidR="00717D5F">
        <w:rPr>
          <w:sz w:val="20"/>
          <w:szCs w:val="20"/>
        </w:rPr>
        <w:t xml:space="preserve">Section 1.2 </w:t>
      </w:r>
      <w:r w:rsidR="005B761F">
        <w:rPr>
          <w:sz w:val="20"/>
          <w:szCs w:val="20"/>
        </w:rPr>
        <w:t>‘</w:t>
      </w:r>
      <w:r w:rsidR="00717D5F">
        <w:rPr>
          <w:sz w:val="20"/>
          <w:szCs w:val="20"/>
        </w:rPr>
        <w:t>Relationship to Prior Specifications</w:t>
      </w:r>
      <w:r w:rsidR="005B761F">
        <w:rPr>
          <w:sz w:val="20"/>
          <w:szCs w:val="20"/>
        </w:rPr>
        <w:t>’</w:t>
      </w:r>
      <w:r w:rsidR="00717D5F">
        <w:rPr>
          <w:sz w:val="20"/>
          <w:szCs w:val="20"/>
        </w:rPr>
        <w:t xml:space="preserve"> addresses backward compatibility and interoperability. </w:t>
      </w:r>
    </w:p>
    <w:p w14:paraId="64C79F56" w14:textId="77777777" w:rsidR="005B761F" w:rsidRDefault="005B761F" w:rsidP="00CB4DAE">
      <w:pPr>
        <w:spacing w:after="0"/>
        <w:rPr>
          <w:sz w:val="20"/>
          <w:szCs w:val="20"/>
        </w:rPr>
      </w:pPr>
    </w:p>
    <w:p w14:paraId="4A79D164" w14:textId="621BEFB3" w:rsidR="00F71F01" w:rsidRDefault="00717D5F" w:rsidP="005B761F">
      <w:pPr>
        <w:spacing w:after="0"/>
        <w:ind w:left="270"/>
        <w:rPr>
          <w:sz w:val="20"/>
          <w:szCs w:val="20"/>
        </w:rPr>
      </w:pPr>
      <w:r>
        <w:rPr>
          <w:sz w:val="20"/>
          <w:szCs w:val="20"/>
        </w:rPr>
        <w:t xml:space="preserve">Although this section specifies that </w:t>
      </w:r>
      <w:r w:rsidR="00F83791">
        <w:rPr>
          <w:sz w:val="20"/>
          <w:szCs w:val="20"/>
        </w:rPr>
        <w:t>“</w:t>
      </w:r>
      <w:r w:rsidRPr="00F83791">
        <w:rPr>
          <w:color w:val="0070C0"/>
          <w:sz w:val="20"/>
          <w:szCs w:val="20"/>
        </w:rPr>
        <w:t>ECF 4.</w:t>
      </w:r>
      <w:r w:rsidR="00F83791" w:rsidRPr="00F83791">
        <w:rPr>
          <w:color w:val="0070C0"/>
          <w:sz w:val="20"/>
          <w:szCs w:val="20"/>
        </w:rPr>
        <w:t>1</w:t>
      </w:r>
      <w:r w:rsidRPr="00F83791">
        <w:rPr>
          <w:color w:val="0070C0"/>
          <w:sz w:val="20"/>
          <w:szCs w:val="20"/>
        </w:rPr>
        <w:t xml:space="preserve"> s not backward</w:t>
      </w:r>
      <w:r w:rsidR="00F83791" w:rsidRPr="00F83791">
        <w:rPr>
          <w:color w:val="0070C0"/>
          <w:sz w:val="20"/>
          <w:szCs w:val="20"/>
        </w:rPr>
        <w:t>-</w:t>
      </w:r>
      <w:r w:rsidRPr="00F83791">
        <w:rPr>
          <w:color w:val="0070C0"/>
          <w:sz w:val="20"/>
          <w:szCs w:val="20"/>
        </w:rPr>
        <w:t>compatible with ECF 3.0, 3.01 and 3.1</w:t>
      </w:r>
      <w:r w:rsidR="00F83791">
        <w:rPr>
          <w:sz w:val="20"/>
          <w:szCs w:val="20"/>
        </w:rPr>
        <w:t>”</w:t>
      </w:r>
      <w:r>
        <w:rPr>
          <w:sz w:val="20"/>
          <w:szCs w:val="20"/>
        </w:rPr>
        <w:t xml:space="preserve">, it says nothing about backward compatibility/interoperability between ECF </w:t>
      </w:r>
      <w:r w:rsidR="00F83791">
        <w:rPr>
          <w:sz w:val="20"/>
          <w:szCs w:val="20"/>
        </w:rPr>
        <w:t xml:space="preserve">4.0, ECF </w:t>
      </w:r>
      <w:r>
        <w:rPr>
          <w:sz w:val="20"/>
          <w:szCs w:val="20"/>
        </w:rPr>
        <w:t>4.01 and ECF 4.1.</w:t>
      </w:r>
      <w:r w:rsidR="00F83791">
        <w:rPr>
          <w:sz w:val="20"/>
          <w:szCs w:val="20"/>
        </w:rPr>
        <w:t xml:space="preserve"> The implication is that ECF 4.0, ECF 4.01, and ECF 4.1 are backward-compatible and can interoperate.</w:t>
      </w:r>
    </w:p>
    <w:p w14:paraId="3C257DDE" w14:textId="73566CA5" w:rsidR="00F71F01" w:rsidRDefault="00F71F01" w:rsidP="00CB4DAE">
      <w:pPr>
        <w:spacing w:after="0"/>
        <w:rPr>
          <w:sz w:val="20"/>
          <w:szCs w:val="20"/>
        </w:rPr>
      </w:pPr>
    </w:p>
    <w:p w14:paraId="5E7300B6" w14:textId="77777777" w:rsidR="008D0DF4" w:rsidRDefault="00E52036" w:rsidP="008D0DF4">
      <w:pPr>
        <w:spacing w:after="0"/>
        <w:ind w:left="270"/>
        <w:rPr>
          <w:sz w:val="20"/>
          <w:szCs w:val="20"/>
        </w:rPr>
      </w:pPr>
      <w:r>
        <w:rPr>
          <w:sz w:val="20"/>
          <w:szCs w:val="20"/>
        </w:rPr>
        <w:t xml:space="preserve">Is ECF 4.1 backwards compatible with ECF 4.01? </w:t>
      </w:r>
      <w:r w:rsidR="008D0DF4">
        <w:rPr>
          <w:sz w:val="20"/>
          <w:szCs w:val="20"/>
        </w:rPr>
        <w:t>Is ECF 4.1 interoperable with ECF 4.01?</w:t>
      </w:r>
    </w:p>
    <w:p w14:paraId="36783E86" w14:textId="77777777" w:rsidR="00E52036" w:rsidRDefault="00E52036" w:rsidP="008D0DF4">
      <w:pPr>
        <w:spacing w:after="0"/>
        <w:rPr>
          <w:sz w:val="20"/>
          <w:szCs w:val="20"/>
        </w:rPr>
      </w:pPr>
    </w:p>
    <w:p w14:paraId="5592E1B0" w14:textId="58A01FE7" w:rsidR="00E52036" w:rsidRDefault="00E52036" w:rsidP="00E52036">
      <w:pPr>
        <w:spacing w:after="0"/>
        <w:ind w:left="270"/>
        <w:rPr>
          <w:sz w:val="20"/>
          <w:szCs w:val="20"/>
        </w:rPr>
      </w:pPr>
      <w:r>
        <w:rPr>
          <w:sz w:val="20"/>
          <w:szCs w:val="20"/>
        </w:rPr>
        <w:t>What does it mean to be backwards compatible? Does this mean that ‘messages’ created under ECF 4.01 can be used with ECF 4.1?</w:t>
      </w:r>
    </w:p>
    <w:p w14:paraId="11F4D5E2" w14:textId="78BE0754" w:rsidR="008507A8" w:rsidRDefault="008507A8" w:rsidP="00E52036">
      <w:pPr>
        <w:spacing w:after="0"/>
        <w:ind w:left="270"/>
        <w:rPr>
          <w:sz w:val="20"/>
          <w:szCs w:val="20"/>
        </w:rPr>
      </w:pPr>
    </w:p>
    <w:p w14:paraId="01A9E107" w14:textId="1E7E2FC7" w:rsidR="001B5A50" w:rsidRDefault="008507A8" w:rsidP="00E52036">
      <w:pPr>
        <w:spacing w:after="0"/>
        <w:ind w:left="270"/>
        <w:rPr>
          <w:sz w:val="20"/>
          <w:szCs w:val="20"/>
        </w:rPr>
      </w:pPr>
      <w:r>
        <w:rPr>
          <w:sz w:val="20"/>
          <w:szCs w:val="20"/>
        </w:rPr>
        <w:t>If ‘message’ means an XML instance conformant with one of the schemas in the xsd/message folder, then ECF 4.1 messages should be backward compatible with ECF 4.01 since (by my recollection) no new elements have been included, and no constraints have been tightened, e.g., some maxOccurs attribute values have been ‘relaxed’</w:t>
      </w:r>
      <w:r w:rsidR="00563796">
        <w:rPr>
          <w:sz w:val="20"/>
          <w:szCs w:val="20"/>
        </w:rPr>
        <w:t xml:space="preserve"> which is loosening, not tightening</w:t>
      </w:r>
      <w:r>
        <w:rPr>
          <w:sz w:val="20"/>
          <w:szCs w:val="20"/>
        </w:rPr>
        <w:t>).</w:t>
      </w:r>
      <w:r w:rsidR="00DC0F43">
        <w:rPr>
          <w:sz w:val="20"/>
          <w:szCs w:val="20"/>
        </w:rPr>
        <w:t xml:space="preserve"> </w:t>
      </w:r>
    </w:p>
    <w:p w14:paraId="12784C93" w14:textId="77777777" w:rsidR="001B5A50" w:rsidRDefault="001B5A50" w:rsidP="00E52036">
      <w:pPr>
        <w:spacing w:after="0"/>
        <w:ind w:left="270"/>
        <w:rPr>
          <w:sz w:val="20"/>
          <w:szCs w:val="20"/>
        </w:rPr>
      </w:pPr>
    </w:p>
    <w:p w14:paraId="2D2C259E" w14:textId="46E398F8" w:rsidR="008507A8" w:rsidRDefault="00DC0F43" w:rsidP="00E52036">
      <w:pPr>
        <w:spacing w:after="0"/>
        <w:ind w:left="270"/>
        <w:rPr>
          <w:sz w:val="20"/>
          <w:szCs w:val="20"/>
        </w:rPr>
      </w:pPr>
      <w:r>
        <w:rPr>
          <w:sz w:val="20"/>
          <w:szCs w:val="20"/>
        </w:rPr>
        <w:t xml:space="preserve">However, if ‘message’ implies ‘an </w:t>
      </w:r>
      <w:r w:rsidR="00C8267F">
        <w:rPr>
          <w:sz w:val="20"/>
          <w:szCs w:val="20"/>
        </w:rPr>
        <w:t>‘</w:t>
      </w:r>
      <w:r>
        <w:rPr>
          <w:sz w:val="20"/>
          <w:szCs w:val="20"/>
        </w:rPr>
        <w:t>exchange’ (such as a Request or Response and not an ECF 4.1 message</w:t>
      </w:r>
      <w:r w:rsidR="00C02DF6">
        <w:rPr>
          <w:sz w:val="20"/>
          <w:szCs w:val="20"/>
        </w:rPr>
        <w:t xml:space="preserve"> (e.g., a Request may contain one or more ECF messages)</w:t>
      </w:r>
      <w:r>
        <w:rPr>
          <w:sz w:val="20"/>
          <w:szCs w:val="20"/>
        </w:rPr>
        <w:t xml:space="preserve">) then </w:t>
      </w:r>
      <w:r w:rsidR="00C02DF6">
        <w:rPr>
          <w:sz w:val="20"/>
          <w:szCs w:val="20"/>
        </w:rPr>
        <w:t>ECF v4.1</w:t>
      </w:r>
      <w:r>
        <w:rPr>
          <w:sz w:val="20"/>
          <w:szCs w:val="20"/>
        </w:rPr>
        <w:t xml:space="preserve"> </w:t>
      </w:r>
      <w:r w:rsidR="00122210">
        <w:rPr>
          <w:sz w:val="20"/>
          <w:szCs w:val="20"/>
        </w:rPr>
        <w:t>ma</w:t>
      </w:r>
      <w:r w:rsidR="00F83791">
        <w:rPr>
          <w:sz w:val="20"/>
          <w:szCs w:val="20"/>
        </w:rPr>
        <w:t>y</w:t>
      </w:r>
      <w:r w:rsidR="00122210">
        <w:rPr>
          <w:sz w:val="20"/>
          <w:szCs w:val="20"/>
        </w:rPr>
        <w:t xml:space="preserve"> </w:t>
      </w:r>
      <w:r>
        <w:rPr>
          <w:sz w:val="20"/>
          <w:szCs w:val="20"/>
        </w:rPr>
        <w:t>no</w:t>
      </w:r>
      <w:r w:rsidR="00122210">
        <w:rPr>
          <w:sz w:val="20"/>
          <w:szCs w:val="20"/>
        </w:rPr>
        <w:t>t be</w:t>
      </w:r>
      <w:r>
        <w:rPr>
          <w:sz w:val="20"/>
          <w:szCs w:val="20"/>
        </w:rPr>
        <w:t xml:space="preserve"> backward</w:t>
      </w:r>
      <w:r w:rsidR="00C02DF6">
        <w:rPr>
          <w:sz w:val="20"/>
          <w:szCs w:val="20"/>
        </w:rPr>
        <w:t>ly</w:t>
      </w:r>
      <w:r>
        <w:rPr>
          <w:sz w:val="20"/>
          <w:szCs w:val="20"/>
        </w:rPr>
        <w:t xml:space="preserve"> compatib</w:t>
      </w:r>
      <w:r w:rsidR="00C02DF6">
        <w:rPr>
          <w:sz w:val="20"/>
          <w:szCs w:val="20"/>
        </w:rPr>
        <w:t>le</w:t>
      </w:r>
      <w:r>
        <w:rPr>
          <w:sz w:val="20"/>
          <w:szCs w:val="20"/>
        </w:rPr>
        <w:t xml:space="preserve"> (at least when using Web Services SIP) since ECF 4.1 exchanges</w:t>
      </w:r>
      <w:r w:rsidR="001B5A50">
        <w:rPr>
          <w:sz w:val="20"/>
          <w:szCs w:val="20"/>
        </w:rPr>
        <w:t>, using [ECF-WS-SIP-v4.1]</w:t>
      </w:r>
      <w:r w:rsidR="00BA5530">
        <w:rPr>
          <w:sz w:val="20"/>
          <w:szCs w:val="20"/>
        </w:rPr>
        <w:t>,</w:t>
      </w:r>
      <w:r w:rsidR="001B5A50">
        <w:rPr>
          <w:sz w:val="20"/>
          <w:szCs w:val="20"/>
        </w:rPr>
        <w:t xml:space="preserve"> </w:t>
      </w:r>
      <w:r w:rsidR="00A0511E">
        <w:rPr>
          <w:sz w:val="20"/>
          <w:szCs w:val="20"/>
        </w:rPr>
        <w:t xml:space="preserve">now </w:t>
      </w:r>
      <w:r>
        <w:rPr>
          <w:sz w:val="20"/>
          <w:szCs w:val="20"/>
        </w:rPr>
        <w:t>must be ‘wrapped’.</w:t>
      </w:r>
    </w:p>
    <w:p w14:paraId="099C2BCF" w14:textId="474961CA" w:rsidR="008507A8" w:rsidRDefault="008507A8" w:rsidP="00E52036">
      <w:pPr>
        <w:spacing w:after="0"/>
        <w:ind w:left="270"/>
        <w:rPr>
          <w:sz w:val="20"/>
          <w:szCs w:val="20"/>
        </w:rPr>
      </w:pPr>
    </w:p>
    <w:p w14:paraId="6539680F" w14:textId="49584FFE" w:rsidR="008507A8" w:rsidRDefault="003327AC" w:rsidP="00E52036">
      <w:pPr>
        <w:spacing w:after="0"/>
        <w:ind w:left="270"/>
        <w:rPr>
          <w:sz w:val="20"/>
          <w:szCs w:val="20"/>
        </w:rPr>
      </w:pPr>
      <w:r>
        <w:rPr>
          <w:sz w:val="20"/>
          <w:szCs w:val="20"/>
        </w:rPr>
        <w:t>Furthermore</w:t>
      </w:r>
      <w:r w:rsidR="008507A8">
        <w:rPr>
          <w:sz w:val="20"/>
          <w:szCs w:val="20"/>
        </w:rPr>
        <w:t xml:space="preserve">, if </w:t>
      </w:r>
      <w:r w:rsidR="008D0DF4">
        <w:rPr>
          <w:sz w:val="20"/>
          <w:szCs w:val="20"/>
        </w:rPr>
        <w:t xml:space="preserve">‘backward </w:t>
      </w:r>
      <w:r w:rsidR="008507A8">
        <w:rPr>
          <w:sz w:val="20"/>
          <w:szCs w:val="20"/>
        </w:rPr>
        <w:t>compatible</w:t>
      </w:r>
      <w:r w:rsidR="008D0DF4">
        <w:rPr>
          <w:sz w:val="20"/>
          <w:szCs w:val="20"/>
        </w:rPr>
        <w:t>’</w:t>
      </w:r>
      <w:r w:rsidR="008507A8">
        <w:rPr>
          <w:sz w:val="20"/>
          <w:szCs w:val="20"/>
        </w:rPr>
        <w:t xml:space="preserve"> </w:t>
      </w:r>
      <w:r w:rsidR="00DC0F43">
        <w:rPr>
          <w:sz w:val="20"/>
          <w:szCs w:val="20"/>
        </w:rPr>
        <w:t>means that a fully compliant ECF 4.01 MDE can seamlessly exchange request</w:t>
      </w:r>
      <w:r w:rsidR="00E33917">
        <w:rPr>
          <w:sz w:val="20"/>
          <w:szCs w:val="20"/>
        </w:rPr>
        <w:t>s</w:t>
      </w:r>
      <w:r w:rsidR="00DC0F43">
        <w:rPr>
          <w:sz w:val="20"/>
          <w:szCs w:val="20"/>
        </w:rPr>
        <w:t xml:space="preserve"> and responses </w:t>
      </w:r>
      <w:r w:rsidR="00E33917">
        <w:rPr>
          <w:sz w:val="20"/>
          <w:szCs w:val="20"/>
        </w:rPr>
        <w:t>with</w:t>
      </w:r>
      <w:r w:rsidR="00DC0F43">
        <w:rPr>
          <w:sz w:val="20"/>
          <w:szCs w:val="20"/>
        </w:rPr>
        <w:t xml:space="preserve"> a</w:t>
      </w:r>
      <w:r w:rsidR="00BA5530">
        <w:rPr>
          <w:sz w:val="20"/>
          <w:szCs w:val="20"/>
        </w:rPr>
        <w:t>nother</w:t>
      </w:r>
      <w:r w:rsidR="00DC0F43">
        <w:rPr>
          <w:sz w:val="20"/>
          <w:szCs w:val="20"/>
        </w:rPr>
        <w:t xml:space="preserve"> fully compliant ECF 4.1 </w:t>
      </w:r>
      <w:r w:rsidR="001B5A50">
        <w:rPr>
          <w:sz w:val="20"/>
          <w:szCs w:val="20"/>
        </w:rPr>
        <w:t xml:space="preserve">(and vice versa) </w:t>
      </w:r>
      <w:r w:rsidR="00DC0F43">
        <w:rPr>
          <w:sz w:val="20"/>
          <w:szCs w:val="20"/>
        </w:rPr>
        <w:t xml:space="preserve">then the answer is likely </w:t>
      </w:r>
      <w:r w:rsidR="00DC0F43" w:rsidRPr="00D420EC">
        <w:rPr>
          <w:sz w:val="20"/>
          <w:szCs w:val="20"/>
          <w:u w:val="single"/>
        </w:rPr>
        <w:t>no</w:t>
      </w:r>
      <w:r w:rsidR="00DC0F43">
        <w:rPr>
          <w:sz w:val="20"/>
          <w:szCs w:val="20"/>
        </w:rPr>
        <w:t xml:space="preserve"> (or is this interoperability?).</w:t>
      </w:r>
    </w:p>
    <w:p w14:paraId="2C5C442A" w14:textId="2DF6C036" w:rsidR="00A06185" w:rsidRDefault="00A06185" w:rsidP="00E52036">
      <w:pPr>
        <w:spacing w:after="0"/>
        <w:ind w:left="270"/>
        <w:rPr>
          <w:sz w:val="20"/>
          <w:szCs w:val="20"/>
        </w:rPr>
      </w:pPr>
    </w:p>
    <w:p w14:paraId="6E38949B" w14:textId="0E3023E4" w:rsidR="00A06185" w:rsidRDefault="00A06185" w:rsidP="00E52036">
      <w:pPr>
        <w:spacing w:after="0"/>
        <w:ind w:left="270"/>
        <w:rPr>
          <w:sz w:val="20"/>
          <w:szCs w:val="20"/>
        </w:rPr>
      </w:pPr>
      <w:r>
        <w:rPr>
          <w:sz w:val="20"/>
          <w:szCs w:val="20"/>
        </w:rPr>
        <w:t xml:space="preserve">Note: interoperability between ECF 4.01 and ECF 4.1 may be possible if the ECF 4.1 wrappers.xsd and the ECF 4.1 WS-SIP is used with ECF 4.01. The TC should consider writing a </w:t>
      </w:r>
      <w:r w:rsidR="004A2919">
        <w:rPr>
          <w:sz w:val="20"/>
          <w:szCs w:val="20"/>
        </w:rPr>
        <w:t>‘</w:t>
      </w:r>
      <w:r>
        <w:rPr>
          <w:sz w:val="20"/>
          <w:szCs w:val="20"/>
        </w:rPr>
        <w:t>non</w:t>
      </w:r>
      <w:r w:rsidR="009B5B4B">
        <w:rPr>
          <w:sz w:val="20"/>
          <w:szCs w:val="20"/>
        </w:rPr>
        <w:t>-</w:t>
      </w:r>
      <w:r>
        <w:rPr>
          <w:sz w:val="20"/>
          <w:szCs w:val="20"/>
        </w:rPr>
        <w:t>standards</w:t>
      </w:r>
      <w:r w:rsidR="004A2919">
        <w:rPr>
          <w:sz w:val="20"/>
          <w:szCs w:val="20"/>
        </w:rPr>
        <w:t>’</w:t>
      </w:r>
      <w:r>
        <w:rPr>
          <w:sz w:val="20"/>
          <w:szCs w:val="20"/>
        </w:rPr>
        <w:t xml:space="preserve"> track document that provides guidance.</w:t>
      </w:r>
    </w:p>
    <w:p w14:paraId="67DD92E7" w14:textId="3A59A726" w:rsidR="00DC6D86" w:rsidRDefault="00DC6D86" w:rsidP="00E52036">
      <w:pPr>
        <w:spacing w:after="0"/>
        <w:ind w:left="270"/>
        <w:rPr>
          <w:sz w:val="20"/>
          <w:szCs w:val="20"/>
        </w:rPr>
      </w:pPr>
    </w:p>
    <w:p w14:paraId="1C6E209E" w14:textId="56F4CA5D" w:rsidR="00DC6D86" w:rsidRDefault="00DC6D86" w:rsidP="00E52036">
      <w:pPr>
        <w:spacing w:after="0"/>
        <w:ind w:left="270"/>
        <w:rPr>
          <w:sz w:val="20"/>
          <w:szCs w:val="20"/>
        </w:rPr>
      </w:pPr>
      <w:r>
        <w:rPr>
          <w:sz w:val="20"/>
          <w:szCs w:val="20"/>
        </w:rPr>
        <w:t xml:space="preserve">Recommendation: </w:t>
      </w:r>
      <w:r w:rsidR="003327AC">
        <w:rPr>
          <w:sz w:val="20"/>
          <w:szCs w:val="20"/>
        </w:rPr>
        <w:t>Make it clear that ECF v4.1 is or is not backward compatible with ECF v4.0 and ECF v4.01.</w:t>
      </w:r>
    </w:p>
    <w:p w14:paraId="2D0EBD54" w14:textId="77777777" w:rsidR="00E52036" w:rsidRDefault="00E52036" w:rsidP="008D0DF4">
      <w:pPr>
        <w:spacing w:after="0"/>
        <w:rPr>
          <w:sz w:val="20"/>
          <w:szCs w:val="20"/>
        </w:rPr>
      </w:pPr>
    </w:p>
    <w:p w14:paraId="4B7AF484" w14:textId="77777777" w:rsidR="00E52036" w:rsidRDefault="00E52036" w:rsidP="00CB4DAE">
      <w:pPr>
        <w:spacing w:after="0"/>
        <w:rPr>
          <w:sz w:val="20"/>
          <w:szCs w:val="20"/>
        </w:rPr>
      </w:pPr>
    </w:p>
    <w:p w14:paraId="7E098CB3" w14:textId="366AAA38" w:rsidR="00F71F01" w:rsidRDefault="002C730D" w:rsidP="00CB4DAE">
      <w:pPr>
        <w:spacing w:after="0"/>
        <w:rPr>
          <w:sz w:val="20"/>
          <w:szCs w:val="20"/>
        </w:rPr>
      </w:pPr>
      <w:r>
        <w:rPr>
          <w:sz w:val="20"/>
          <w:szCs w:val="20"/>
        </w:rPr>
        <w:t>5. Message Stream</w:t>
      </w:r>
    </w:p>
    <w:p w14:paraId="3510FDA3" w14:textId="67DF2124" w:rsidR="002C730D" w:rsidRDefault="002C730D" w:rsidP="00CB4DAE">
      <w:pPr>
        <w:spacing w:after="0"/>
        <w:rPr>
          <w:sz w:val="20"/>
          <w:szCs w:val="20"/>
        </w:rPr>
      </w:pPr>
    </w:p>
    <w:p w14:paraId="7607547E" w14:textId="0F76DE31" w:rsidR="002C730D" w:rsidRDefault="002C730D" w:rsidP="00576077">
      <w:pPr>
        <w:tabs>
          <w:tab w:val="left" w:pos="270"/>
        </w:tabs>
        <w:spacing w:after="0"/>
        <w:ind w:left="180"/>
        <w:rPr>
          <w:sz w:val="20"/>
          <w:szCs w:val="20"/>
        </w:rPr>
      </w:pPr>
      <w:r>
        <w:rPr>
          <w:sz w:val="20"/>
          <w:szCs w:val="20"/>
        </w:rPr>
        <w:t>The illustration in section 2.3.3 Sample Message Streams (i.e., Figure 1. Simple Message Stream) does not show the containment provided by the new wrappers.xsd.</w:t>
      </w:r>
    </w:p>
    <w:p w14:paraId="5E36B22D" w14:textId="735E40E9" w:rsidR="00BE3B42" w:rsidRDefault="00BE3B42" w:rsidP="00576077">
      <w:pPr>
        <w:tabs>
          <w:tab w:val="left" w:pos="270"/>
        </w:tabs>
        <w:spacing w:after="0"/>
        <w:ind w:left="180"/>
        <w:rPr>
          <w:sz w:val="20"/>
          <w:szCs w:val="20"/>
        </w:rPr>
      </w:pPr>
    </w:p>
    <w:p w14:paraId="01ED1F50" w14:textId="057C1C6D" w:rsidR="00BE3B42" w:rsidRDefault="00BE3B42" w:rsidP="00576077">
      <w:pPr>
        <w:tabs>
          <w:tab w:val="left" w:pos="270"/>
        </w:tabs>
        <w:spacing w:after="0"/>
        <w:ind w:left="180"/>
        <w:rPr>
          <w:sz w:val="20"/>
          <w:szCs w:val="20"/>
        </w:rPr>
      </w:pPr>
      <w:r>
        <w:rPr>
          <w:sz w:val="20"/>
          <w:szCs w:val="20"/>
        </w:rPr>
        <w:t>Is the use of wrappers.xsd optional?</w:t>
      </w:r>
    </w:p>
    <w:p w14:paraId="055B3FA4" w14:textId="18A53958" w:rsidR="00DB13DF" w:rsidRDefault="00DB13DF" w:rsidP="00576077">
      <w:pPr>
        <w:tabs>
          <w:tab w:val="left" w:pos="270"/>
        </w:tabs>
        <w:spacing w:after="0"/>
        <w:ind w:left="180"/>
        <w:rPr>
          <w:sz w:val="20"/>
          <w:szCs w:val="20"/>
        </w:rPr>
      </w:pPr>
    </w:p>
    <w:p w14:paraId="15959261" w14:textId="0A032270" w:rsidR="00DB13DF" w:rsidRDefault="00DB13DF" w:rsidP="00576077">
      <w:pPr>
        <w:tabs>
          <w:tab w:val="left" w:pos="270"/>
        </w:tabs>
        <w:spacing w:after="0"/>
        <w:ind w:left="180"/>
        <w:rPr>
          <w:sz w:val="20"/>
          <w:szCs w:val="20"/>
        </w:rPr>
      </w:pPr>
      <w:r>
        <w:rPr>
          <w:sz w:val="20"/>
          <w:szCs w:val="20"/>
        </w:rPr>
        <w:t xml:space="preserve">There are no statements within the prose specification requiring the use of </w:t>
      </w:r>
      <w:r w:rsidR="00DC6D86">
        <w:rPr>
          <w:sz w:val="20"/>
          <w:szCs w:val="20"/>
        </w:rPr>
        <w:t>w</w:t>
      </w:r>
      <w:r>
        <w:rPr>
          <w:sz w:val="20"/>
          <w:szCs w:val="20"/>
        </w:rPr>
        <w:t>rappers.xsd. Furthermore, there are no ECF v4.1 provided schemas that require the application of wrappers.xsd. The wrappers.xsd is required for use with the ECF v4.1 Web Services SIP.</w:t>
      </w:r>
    </w:p>
    <w:p w14:paraId="5BB81467" w14:textId="3FF38E3B" w:rsidR="00303F85" w:rsidRDefault="00303F85" w:rsidP="00576077">
      <w:pPr>
        <w:tabs>
          <w:tab w:val="left" w:pos="270"/>
        </w:tabs>
        <w:spacing w:after="0"/>
        <w:ind w:left="180"/>
        <w:rPr>
          <w:sz w:val="20"/>
          <w:szCs w:val="20"/>
        </w:rPr>
      </w:pPr>
    </w:p>
    <w:p w14:paraId="7DA44CF7" w14:textId="4CB1379E" w:rsidR="00303F85" w:rsidRDefault="00303F85" w:rsidP="00576077">
      <w:pPr>
        <w:tabs>
          <w:tab w:val="left" w:pos="270"/>
        </w:tabs>
        <w:spacing w:after="0"/>
        <w:ind w:left="180"/>
        <w:rPr>
          <w:sz w:val="20"/>
          <w:szCs w:val="20"/>
        </w:rPr>
      </w:pPr>
      <w:r>
        <w:rPr>
          <w:sz w:val="20"/>
          <w:szCs w:val="20"/>
        </w:rPr>
        <w:t>It appears that wrappers.xsd is an included, but optional, implementation allowable accessory.</w:t>
      </w:r>
    </w:p>
    <w:p w14:paraId="45AF93EC" w14:textId="7BCA914F" w:rsidR="00303F85" w:rsidRDefault="00303F85" w:rsidP="00576077">
      <w:pPr>
        <w:tabs>
          <w:tab w:val="left" w:pos="270"/>
        </w:tabs>
        <w:spacing w:after="0"/>
        <w:ind w:left="180"/>
        <w:rPr>
          <w:sz w:val="20"/>
          <w:szCs w:val="20"/>
        </w:rPr>
      </w:pPr>
    </w:p>
    <w:p w14:paraId="253575F8" w14:textId="6701EA49" w:rsidR="00303F85" w:rsidRDefault="00303F85" w:rsidP="00576077">
      <w:pPr>
        <w:tabs>
          <w:tab w:val="left" w:pos="270"/>
        </w:tabs>
        <w:spacing w:after="0"/>
        <w:ind w:left="180"/>
        <w:rPr>
          <w:sz w:val="20"/>
          <w:szCs w:val="20"/>
        </w:rPr>
      </w:pPr>
      <w:r>
        <w:rPr>
          <w:sz w:val="20"/>
          <w:szCs w:val="20"/>
        </w:rPr>
        <w:t>Recommendation: Determine the role for w</w:t>
      </w:r>
      <w:r w:rsidR="009D5709">
        <w:rPr>
          <w:sz w:val="20"/>
          <w:szCs w:val="20"/>
        </w:rPr>
        <w:t>r</w:t>
      </w:r>
      <w:r>
        <w:rPr>
          <w:sz w:val="20"/>
          <w:szCs w:val="20"/>
        </w:rPr>
        <w:t xml:space="preserve">appers.xsd in ECF v4.1 (also consider #7 below). Upon role determination, revise the prose specification </w:t>
      </w:r>
      <w:r w:rsidR="00882941">
        <w:rPr>
          <w:sz w:val="20"/>
          <w:szCs w:val="20"/>
        </w:rPr>
        <w:t>(</w:t>
      </w:r>
      <w:r>
        <w:rPr>
          <w:sz w:val="20"/>
          <w:szCs w:val="20"/>
        </w:rPr>
        <w:t>and possibly other technical artifacts) as appropriate</w:t>
      </w:r>
      <w:r w:rsidR="00144065">
        <w:rPr>
          <w:sz w:val="20"/>
          <w:szCs w:val="20"/>
        </w:rPr>
        <w:t>, such as making it clear whether it is required or optional</w:t>
      </w:r>
      <w:r>
        <w:rPr>
          <w:sz w:val="20"/>
          <w:szCs w:val="20"/>
        </w:rPr>
        <w:t>.</w:t>
      </w:r>
      <w:r w:rsidR="00FF126A">
        <w:rPr>
          <w:sz w:val="20"/>
          <w:szCs w:val="20"/>
        </w:rPr>
        <w:t xml:space="preserve"> This may include revisions in Appendix C.</w:t>
      </w:r>
    </w:p>
    <w:p w14:paraId="7097DDD8" w14:textId="77777777" w:rsidR="002401A5" w:rsidRDefault="002401A5" w:rsidP="00576077">
      <w:pPr>
        <w:tabs>
          <w:tab w:val="left" w:pos="270"/>
        </w:tabs>
        <w:spacing w:after="0"/>
        <w:ind w:left="180"/>
        <w:rPr>
          <w:sz w:val="20"/>
          <w:szCs w:val="20"/>
        </w:rPr>
      </w:pPr>
    </w:p>
    <w:p w14:paraId="4AC8FEF3" w14:textId="1BE9894B" w:rsidR="002C730D" w:rsidRDefault="002C730D" w:rsidP="00CB4DAE">
      <w:pPr>
        <w:spacing w:after="0"/>
        <w:rPr>
          <w:sz w:val="20"/>
          <w:szCs w:val="20"/>
        </w:rPr>
      </w:pPr>
    </w:p>
    <w:p w14:paraId="6944D3FE" w14:textId="5442B06A" w:rsidR="002C730D" w:rsidRDefault="002C730D" w:rsidP="00CB4DAE">
      <w:pPr>
        <w:spacing w:after="0"/>
        <w:rPr>
          <w:sz w:val="20"/>
          <w:szCs w:val="20"/>
        </w:rPr>
      </w:pPr>
      <w:r>
        <w:rPr>
          <w:sz w:val="20"/>
          <w:szCs w:val="20"/>
        </w:rPr>
        <w:t xml:space="preserve">6. </w:t>
      </w:r>
      <w:r w:rsidR="006B4158">
        <w:rPr>
          <w:sz w:val="20"/>
          <w:szCs w:val="20"/>
        </w:rPr>
        <w:t>Section 4.2 ‘ECF 4.1 Common Schemas’ does not include wrappers.xsd</w:t>
      </w:r>
      <w:r w:rsidR="00F202E7">
        <w:rPr>
          <w:sz w:val="20"/>
          <w:szCs w:val="20"/>
        </w:rPr>
        <w:t>.</w:t>
      </w:r>
    </w:p>
    <w:p w14:paraId="1D76ABE6" w14:textId="6CAD64C7" w:rsidR="00F202E7" w:rsidRDefault="00F202E7" w:rsidP="00CB4DAE">
      <w:pPr>
        <w:spacing w:after="0"/>
        <w:rPr>
          <w:sz w:val="20"/>
          <w:szCs w:val="20"/>
        </w:rPr>
      </w:pPr>
    </w:p>
    <w:p w14:paraId="53001868" w14:textId="447BFB9D" w:rsidR="00F202E7" w:rsidRDefault="00F202E7" w:rsidP="00576077">
      <w:pPr>
        <w:spacing w:after="0"/>
        <w:ind w:left="180"/>
        <w:rPr>
          <w:sz w:val="20"/>
          <w:szCs w:val="20"/>
        </w:rPr>
      </w:pPr>
      <w:r>
        <w:rPr>
          <w:sz w:val="20"/>
          <w:szCs w:val="20"/>
        </w:rPr>
        <w:t>The new wrappers.xsd should be included in the schema section, but in which subsection should it appear? None of the existing subsections (i.e., Case Type Schemas, Common Schemas, Constraint and Subset Schemas, or Message Schemas) appear correct. Should a new subsection be added?</w:t>
      </w:r>
    </w:p>
    <w:p w14:paraId="6370A18E" w14:textId="72F2B786" w:rsidR="00785C0E" w:rsidRDefault="00785C0E" w:rsidP="00576077">
      <w:pPr>
        <w:spacing w:after="0"/>
        <w:ind w:left="180"/>
        <w:rPr>
          <w:sz w:val="20"/>
          <w:szCs w:val="20"/>
        </w:rPr>
      </w:pPr>
    </w:p>
    <w:p w14:paraId="647781F2" w14:textId="05B3DEE5" w:rsidR="00785C0E" w:rsidRDefault="00785C0E" w:rsidP="00576077">
      <w:pPr>
        <w:spacing w:after="0"/>
        <w:ind w:left="180"/>
        <w:rPr>
          <w:sz w:val="20"/>
          <w:szCs w:val="20"/>
        </w:rPr>
      </w:pPr>
      <w:r>
        <w:rPr>
          <w:sz w:val="20"/>
          <w:szCs w:val="20"/>
        </w:rPr>
        <w:t>Recommendation: Include wrappers.xsd in the schema section, within a new ‘Exchange Schema’ subsection.</w:t>
      </w:r>
    </w:p>
    <w:p w14:paraId="2910ACE6" w14:textId="77777777" w:rsidR="002401A5" w:rsidRDefault="002401A5" w:rsidP="00EC23CB">
      <w:pPr>
        <w:spacing w:after="0"/>
        <w:rPr>
          <w:sz w:val="20"/>
          <w:szCs w:val="20"/>
        </w:rPr>
      </w:pPr>
    </w:p>
    <w:p w14:paraId="2D01E805" w14:textId="3D2EE0C2" w:rsidR="00771690" w:rsidRDefault="00771690" w:rsidP="00CB4DAE">
      <w:pPr>
        <w:spacing w:after="0"/>
        <w:rPr>
          <w:sz w:val="20"/>
          <w:szCs w:val="20"/>
        </w:rPr>
      </w:pPr>
    </w:p>
    <w:p w14:paraId="4A713D41" w14:textId="39D76BF2" w:rsidR="00771690" w:rsidRDefault="00771690" w:rsidP="00CB4DAE">
      <w:pPr>
        <w:spacing w:after="0"/>
        <w:rPr>
          <w:sz w:val="20"/>
          <w:szCs w:val="20"/>
        </w:rPr>
      </w:pPr>
      <w:r>
        <w:rPr>
          <w:sz w:val="20"/>
          <w:szCs w:val="20"/>
        </w:rPr>
        <w:t>7. Does wrappers.xsd really belong in ECF 4.1 Web Services SIP?</w:t>
      </w:r>
    </w:p>
    <w:p w14:paraId="1854F32A" w14:textId="0E015A58" w:rsidR="00771690" w:rsidRDefault="00771690" w:rsidP="00CB4DAE">
      <w:pPr>
        <w:spacing w:after="0"/>
        <w:rPr>
          <w:sz w:val="20"/>
          <w:szCs w:val="20"/>
        </w:rPr>
      </w:pPr>
    </w:p>
    <w:p w14:paraId="64F38B67" w14:textId="1EE9EFDB" w:rsidR="00771690" w:rsidRDefault="00022A82" w:rsidP="00576077">
      <w:pPr>
        <w:spacing w:after="0"/>
        <w:ind w:left="180"/>
        <w:rPr>
          <w:sz w:val="20"/>
          <w:szCs w:val="20"/>
        </w:rPr>
      </w:pPr>
      <w:r>
        <w:rPr>
          <w:sz w:val="20"/>
          <w:szCs w:val="20"/>
        </w:rPr>
        <w:t>Note that the 2022-06-18 entry in Revision History (Appendix G) provides: “</w:t>
      </w:r>
      <w:r w:rsidRPr="00022A82">
        <w:rPr>
          <w:color w:val="0070C0"/>
          <w:sz w:val="20"/>
          <w:szCs w:val="20"/>
        </w:rPr>
        <w:t>Added xsd/wrappers.xsd to support document/literal web services.</w:t>
      </w:r>
      <w:r>
        <w:rPr>
          <w:sz w:val="20"/>
          <w:szCs w:val="20"/>
        </w:rPr>
        <w:t>”</w:t>
      </w:r>
      <w:r w:rsidR="00335DAD">
        <w:rPr>
          <w:sz w:val="20"/>
          <w:szCs w:val="20"/>
        </w:rPr>
        <w:t xml:space="preserve"> Note that “document/literal” refers to the Web Services SIP.</w:t>
      </w:r>
    </w:p>
    <w:p w14:paraId="701C60D0" w14:textId="0BBB051A" w:rsidR="00F71F01" w:rsidRDefault="00F71F01" w:rsidP="00576077">
      <w:pPr>
        <w:spacing w:after="0"/>
        <w:ind w:left="180"/>
        <w:rPr>
          <w:sz w:val="20"/>
          <w:szCs w:val="20"/>
        </w:rPr>
      </w:pPr>
    </w:p>
    <w:p w14:paraId="20BF5B89" w14:textId="6863E878" w:rsidR="00F71F01" w:rsidRDefault="00022A82" w:rsidP="00576077">
      <w:pPr>
        <w:spacing w:after="0"/>
        <w:ind w:left="180"/>
        <w:rPr>
          <w:sz w:val="20"/>
          <w:szCs w:val="20"/>
        </w:rPr>
      </w:pPr>
      <w:r>
        <w:rPr>
          <w:sz w:val="20"/>
          <w:szCs w:val="20"/>
        </w:rPr>
        <w:t>Also observe that wrappers.xsd is not employed in the Portable Media SIP or the IBM MQ SIP. As such it is uniquely associated with</w:t>
      </w:r>
      <w:r w:rsidR="00F075BA">
        <w:rPr>
          <w:sz w:val="20"/>
          <w:szCs w:val="20"/>
        </w:rPr>
        <w:t>,</w:t>
      </w:r>
      <w:r>
        <w:rPr>
          <w:sz w:val="20"/>
          <w:szCs w:val="20"/>
        </w:rPr>
        <w:t xml:space="preserve"> and perhaps should be a part of</w:t>
      </w:r>
      <w:r w:rsidR="00F075BA">
        <w:rPr>
          <w:sz w:val="20"/>
          <w:szCs w:val="20"/>
        </w:rPr>
        <w:t>,</w:t>
      </w:r>
      <w:r>
        <w:rPr>
          <w:sz w:val="20"/>
          <w:szCs w:val="20"/>
        </w:rPr>
        <w:t xml:space="preserve"> the Web Services SIP.</w:t>
      </w:r>
    </w:p>
    <w:p w14:paraId="1D9C0154" w14:textId="04EBA546" w:rsidR="008918A2" w:rsidRDefault="008918A2" w:rsidP="00576077">
      <w:pPr>
        <w:spacing w:after="0"/>
        <w:ind w:left="180"/>
        <w:rPr>
          <w:sz w:val="20"/>
          <w:szCs w:val="20"/>
        </w:rPr>
      </w:pPr>
    </w:p>
    <w:p w14:paraId="5F3012EB" w14:textId="428B0542" w:rsidR="008918A2" w:rsidRDefault="008918A2" w:rsidP="00576077">
      <w:pPr>
        <w:spacing w:after="0"/>
        <w:ind w:left="180"/>
        <w:rPr>
          <w:sz w:val="20"/>
          <w:szCs w:val="20"/>
        </w:rPr>
      </w:pPr>
      <w:r>
        <w:rPr>
          <w:sz w:val="20"/>
          <w:szCs w:val="20"/>
        </w:rPr>
        <w:t xml:space="preserve">Also consider that if wrappers.xsd is an artifact of [ECF-WS-SIP-v4.1] then this would likely resolve the </w:t>
      </w:r>
      <w:r w:rsidR="00CF0494">
        <w:rPr>
          <w:sz w:val="20"/>
          <w:szCs w:val="20"/>
        </w:rPr>
        <w:t xml:space="preserve">apparent </w:t>
      </w:r>
      <w:r>
        <w:rPr>
          <w:sz w:val="20"/>
          <w:szCs w:val="20"/>
        </w:rPr>
        <w:t xml:space="preserve">backward compatibility </w:t>
      </w:r>
      <w:r w:rsidR="00FD037D">
        <w:rPr>
          <w:sz w:val="20"/>
          <w:szCs w:val="20"/>
        </w:rPr>
        <w:t>concern</w:t>
      </w:r>
      <w:r>
        <w:rPr>
          <w:sz w:val="20"/>
          <w:szCs w:val="20"/>
        </w:rPr>
        <w:t>.</w:t>
      </w:r>
    </w:p>
    <w:p w14:paraId="6A559302" w14:textId="6FF5B25A" w:rsidR="003A3B4D" w:rsidRDefault="003A3B4D" w:rsidP="00576077">
      <w:pPr>
        <w:spacing w:after="0"/>
        <w:ind w:left="180"/>
        <w:rPr>
          <w:sz w:val="20"/>
          <w:szCs w:val="20"/>
        </w:rPr>
      </w:pPr>
    </w:p>
    <w:p w14:paraId="3FC825D9" w14:textId="11708104" w:rsidR="003A3B4D" w:rsidRDefault="003A3B4D" w:rsidP="00576077">
      <w:pPr>
        <w:spacing w:after="0"/>
        <w:ind w:left="180"/>
        <w:rPr>
          <w:sz w:val="20"/>
          <w:szCs w:val="20"/>
        </w:rPr>
      </w:pPr>
      <w:r>
        <w:rPr>
          <w:sz w:val="20"/>
          <w:szCs w:val="20"/>
        </w:rPr>
        <w:t>Recommendation:</w:t>
      </w:r>
    </w:p>
    <w:p w14:paraId="2412382B" w14:textId="6A01888F" w:rsidR="003A3B4D" w:rsidRDefault="003A3B4D" w:rsidP="00576077">
      <w:pPr>
        <w:spacing w:after="0"/>
        <w:ind w:left="180"/>
        <w:rPr>
          <w:sz w:val="20"/>
          <w:szCs w:val="20"/>
        </w:rPr>
      </w:pPr>
    </w:p>
    <w:p w14:paraId="57E0C5F7" w14:textId="05E2EC7C" w:rsidR="003A3B4D" w:rsidRDefault="005F6C0C" w:rsidP="00576077">
      <w:pPr>
        <w:spacing w:after="0"/>
        <w:ind w:left="180"/>
        <w:rPr>
          <w:sz w:val="20"/>
          <w:szCs w:val="20"/>
        </w:rPr>
      </w:pPr>
      <w:r>
        <w:rPr>
          <w:sz w:val="20"/>
          <w:szCs w:val="20"/>
        </w:rPr>
        <w:lastRenderedPageBreak/>
        <w:t xml:space="preserve">a. </w:t>
      </w:r>
      <w:r w:rsidR="003A3B4D">
        <w:rPr>
          <w:sz w:val="20"/>
          <w:szCs w:val="20"/>
        </w:rPr>
        <w:t>Presently, neither Portable Media SIP nor IBM MQ SIP require the use of wrappers.xsd. The wrappers.xsd exists exclusively for Web Services SIP. As such, warppers.xsd should be an artifact of Web Services SIP and not an artifact of ECF v4.1. Remove wrappers.xsd from ECF v4.1 and include wrappers.xsd within ECF v4.1 Web Services SIP.</w:t>
      </w:r>
    </w:p>
    <w:p w14:paraId="6D970F76" w14:textId="57390778" w:rsidR="005F6C0C" w:rsidRDefault="005F6C0C" w:rsidP="00576077">
      <w:pPr>
        <w:spacing w:after="0"/>
        <w:ind w:left="180"/>
        <w:rPr>
          <w:sz w:val="20"/>
          <w:szCs w:val="20"/>
        </w:rPr>
      </w:pPr>
    </w:p>
    <w:p w14:paraId="41E06C1F" w14:textId="78DF51AF" w:rsidR="005F6C0C" w:rsidRDefault="005F6C0C" w:rsidP="00576077">
      <w:pPr>
        <w:spacing w:after="0"/>
        <w:ind w:left="180"/>
        <w:rPr>
          <w:sz w:val="20"/>
          <w:szCs w:val="20"/>
        </w:rPr>
      </w:pPr>
      <w:r>
        <w:rPr>
          <w:sz w:val="20"/>
          <w:szCs w:val="20"/>
        </w:rPr>
        <w:t>b. In the alternative, under which wrappers.xsd remains an artifact of ECF v4.1, then revise both the Portable Media SIP and the IBM MQ SIP to incorporate wrappers.xsd.</w:t>
      </w:r>
    </w:p>
    <w:p w14:paraId="6131AE4D" w14:textId="77777777" w:rsidR="008918A2" w:rsidRDefault="008918A2" w:rsidP="00576077">
      <w:pPr>
        <w:spacing w:after="0"/>
        <w:ind w:left="180"/>
        <w:rPr>
          <w:sz w:val="20"/>
          <w:szCs w:val="20"/>
        </w:rPr>
      </w:pPr>
    </w:p>
    <w:p w14:paraId="24824DFA" w14:textId="3F2F8145" w:rsidR="00022A82" w:rsidRDefault="00022A82" w:rsidP="00CB4DAE">
      <w:pPr>
        <w:spacing w:after="0"/>
        <w:rPr>
          <w:sz w:val="20"/>
          <w:szCs w:val="20"/>
        </w:rPr>
      </w:pPr>
    </w:p>
    <w:p w14:paraId="2A6C8A0A" w14:textId="360D284D" w:rsidR="0099511B" w:rsidRDefault="0099511B" w:rsidP="00CB4DAE">
      <w:pPr>
        <w:spacing w:after="0"/>
        <w:rPr>
          <w:sz w:val="20"/>
          <w:szCs w:val="20"/>
        </w:rPr>
      </w:pPr>
      <w:r>
        <w:rPr>
          <w:sz w:val="20"/>
          <w:szCs w:val="20"/>
        </w:rPr>
        <w:t xml:space="preserve">8. Example ECF 4.1 messages (in </w:t>
      </w:r>
      <w:r w:rsidR="00E6276C">
        <w:rPr>
          <w:sz w:val="20"/>
          <w:szCs w:val="20"/>
        </w:rPr>
        <w:t>ecf-v4.1-csd01/xml</w:t>
      </w:r>
      <w:r>
        <w:rPr>
          <w:sz w:val="20"/>
          <w:szCs w:val="20"/>
        </w:rPr>
        <w:t xml:space="preserve"> folder) provide confusing header comments. Two separate comments are included</w:t>
      </w:r>
      <w:r w:rsidR="00473346">
        <w:rPr>
          <w:sz w:val="20"/>
          <w:szCs w:val="20"/>
        </w:rPr>
        <w:t xml:space="preserve"> in</w:t>
      </w:r>
      <w:r w:rsidR="007A11E4">
        <w:rPr>
          <w:sz w:val="20"/>
          <w:szCs w:val="20"/>
        </w:rPr>
        <w:t xml:space="preserve"> most</w:t>
      </w:r>
      <w:r w:rsidR="00473346">
        <w:rPr>
          <w:sz w:val="20"/>
          <w:szCs w:val="20"/>
        </w:rPr>
        <w:t xml:space="preserve"> of the examples</w:t>
      </w:r>
      <w:r>
        <w:rPr>
          <w:sz w:val="20"/>
          <w:szCs w:val="20"/>
        </w:rPr>
        <w:t>, and each comment identifies a different ECF version as shown below:</w:t>
      </w:r>
    </w:p>
    <w:p w14:paraId="759A7A2A" w14:textId="77777777" w:rsidR="0099511B" w:rsidRDefault="0099511B" w:rsidP="00CB4DAE">
      <w:pPr>
        <w:spacing w:after="0"/>
        <w:rPr>
          <w:sz w:val="20"/>
          <w:szCs w:val="20"/>
        </w:rPr>
      </w:pPr>
    </w:p>
    <w:p w14:paraId="4895CC4A"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0000FF"/>
          <w:sz w:val="16"/>
          <w:szCs w:val="16"/>
          <w:highlight w:val="white"/>
        </w:rPr>
        <w:t>&lt;!--</w:t>
      </w:r>
    </w:p>
    <w:p w14:paraId="35CB02E8"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Electronic Court Filing Web Services Service Interaction Profile Version 4.1</w:t>
      </w:r>
    </w:p>
    <w:p w14:paraId="483B57D2"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Committee Specification Draft 01</w:t>
      </w:r>
    </w:p>
    <w:p w14:paraId="27A4EF74"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07 December 2022</w:t>
      </w:r>
    </w:p>
    <w:p w14:paraId="7D82F8A6"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Copyright (c) OASIS Open 2022. All Rights Reserved.</w:t>
      </w:r>
    </w:p>
    <w:p w14:paraId="2489EB66"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Source: https://docs.oasis-open.org/legalxml-courtfiling/ecf-webservices/v4.1/csd01/xsd/</w:t>
      </w:r>
    </w:p>
    <w:p w14:paraId="5A185B87"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Latest version of narrative specification: https://docs.oasis-open.org/legalxml-courtfiling/ecf-webservices/v4.1/ecf-webservices-v4.1.html</w:t>
      </w:r>
    </w:p>
    <w:p w14:paraId="737C4213"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TC IPR Statement: https://www.oasis-open.org/committees/legalxml-courtfiling/ipr.php </w:t>
      </w:r>
    </w:p>
    <w:p w14:paraId="00FFD2A9" w14:textId="77777777" w:rsidR="0099511B" w:rsidRPr="0099511B" w:rsidRDefault="0099511B" w:rsidP="00576077">
      <w:pPr>
        <w:autoSpaceDE w:val="0"/>
        <w:autoSpaceDN w:val="0"/>
        <w:adjustRightInd w:val="0"/>
        <w:spacing w:after="0" w:line="240" w:lineRule="auto"/>
        <w:ind w:left="180"/>
        <w:rPr>
          <w:rFonts w:ascii="Consolas" w:hAnsi="Consolas" w:cs="Consolas"/>
          <w:color w:val="000000"/>
          <w:sz w:val="16"/>
          <w:szCs w:val="16"/>
          <w:highlight w:val="white"/>
        </w:rPr>
      </w:pPr>
      <w:r w:rsidRPr="0099511B">
        <w:rPr>
          <w:rFonts w:ascii="Consolas" w:hAnsi="Consolas" w:cs="Consolas"/>
          <w:color w:val="0000FF"/>
          <w:sz w:val="16"/>
          <w:szCs w:val="16"/>
          <w:highlight w:val="white"/>
        </w:rPr>
        <w:t>--&gt;</w:t>
      </w:r>
    </w:p>
    <w:p w14:paraId="71414554"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0000FF"/>
          <w:sz w:val="16"/>
          <w:szCs w:val="16"/>
          <w:highlight w:val="white"/>
        </w:rPr>
        <w:t>&lt;!--</w:t>
      </w:r>
    </w:p>
    <w:p w14:paraId="700DA099"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Electronic Court Filing Version 4.01 Plus Errata 02</w:t>
      </w:r>
    </w:p>
    <w:p w14:paraId="55D70757"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OASIS Standard incorporating Approved Errata 02</w:t>
      </w:r>
    </w:p>
    <w:p w14:paraId="354174E4"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07 July 2015</w:t>
      </w:r>
    </w:p>
    <w:p w14:paraId="2B2E11F7"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Copyright (c) OASIS Open 2015. All Rights Reserved.</w:t>
      </w:r>
    </w:p>
    <w:p w14:paraId="217400FB" w14:textId="77777777" w:rsidR="0099511B" w:rsidRPr="0099511B" w:rsidRDefault="0099511B" w:rsidP="00576077">
      <w:pPr>
        <w:autoSpaceDE w:val="0"/>
        <w:autoSpaceDN w:val="0"/>
        <w:adjustRightInd w:val="0"/>
        <w:spacing w:after="0" w:line="240" w:lineRule="auto"/>
        <w:ind w:left="180"/>
        <w:rPr>
          <w:rFonts w:ascii="Consolas" w:hAnsi="Consolas" w:cs="Consolas"/>
          <w:color w:val="808080"/>
          <w:sz w:val="16"/>
          <w:szCs w:val="16"/>
          <w:highlight w:val="white"/>
        </w:rPr>
      </w:pPr>
      <w:r w:rsidRPr="0099511B">
        <w:rPr>
          <w:rFonts w:ascii="Consolas" w:hAnsi="Consolas" w:cs="Consolas"/>
          <w:color w:val="808080"/>
          <w:sz w:val="16"/>
          <w:szCs w:val="16"/>
          <w:highlight w:val="white"/>
        </w:rPr>
        <w:t xml:space="preserve">     Source: http://docs.oasis-open.org/legalxml-courtfiling/specs/ecf/v4.01/ecf-v4.01-spec/errata02/os/xsd/</w:t>
      </w:r>
    </w:p>
    <w:p w14:paraId="1C7F1A32" w14:textId="7A566543" w:rsidR="0099511B" w:rsidRPr="0099511B" w:rsidRDefault="0099511B" w:rsidP="00576077">
      <w:pPr>
        <w:spacing w:after="0"/>
        <w:ind w:left="180"/>
        <w:rPr>
          <w:sz w:val="16"/>
          <w:szCs w:val="16"/>
        </w:rPr>
      </w:pPr>
      <w:r w:rsidRPr="0099511B">
        <w:rPr>
          <w:rFonts w:ascii="Consolas" w:hAnsi="Consolas" w:cs="Consolas"/>
          <w:color w:val="808080"/>
          <w:sz w:val="16"/>
          <w:szCs w:val="16"/>
          <w:highlight w:val="white"/>
        </w:rPr>
        <w:t xml:space="preserve">     </w:t>
      </w:r>
      <w:r w:rsidRPr="0099511B">
        <w:rPr>
          <w:rFonts w:ascii="Consolas" w:hAnsi="Consolas" w:cs="Consolas"/>
          <w:color w:val="0000FF"/>
          <w:sz w:val="16"/>
          <w:szCs w:val="16"/>
          <w:highlight w:val="white"/>
        </w:rPr>
        <w:t>--&gt;</w:t>
      </w:r>
      <w:r w:rsidRPr="0099511B">
        <w:rPr>
          <w:sz w:val="16"/>
          <w:szCs w:val="16"/>
        </w:rPr>
        <w:t xml:space="preserve"> </w:t>
      </w:r>
    </w:p>
    <w:p w14:paraId="40475A2D" w14:textId="337488C1" w:rsidR="00022A82" w:rsidRDefault="00022A82" w:rsidP="00CB4DAE">
      <w:pPr>
        <w:spacing w:after="0"/>
        <w:rPr>
          <w:sz w:val="20"/>
          <w:szCs w:val="20"/>
        </w:rPr>
      </w:pPr>
    </w:p>
    <w:p w14:paraId="5D5EED0C" w14:textId="77777777" w:rsidR="003341DB" w:rsidRDefault="00473346" w:rsidP="00CA4E25">
      <w:pPr>
        <w:spacing w:after="0"/>
        <w:ind w:left="270"/>
        <w:rPr>
          <w:sz w:val="20"/>
          <w:szCs w:val="20"/>
        </w:rPr>
      </w:pPr>
      <w:r>
        <w:rPr>
          <w:sz w:val="20"/>
          <w:szCs w:val="20"/>
        </w:rPr>
        <w:t>Since namespace URIs have been updated for v4.1, these examples are no longer valid for v4.01.</w:t>
      </w:r>
      <w:r w:rsidR="009944E9">
        <w:rPr>
          <w:sz w:val="20"/>
          <w:szCs w:val="20"/>
        </w:rPr>
        <w:t xml:space="preserve"> </w:t>
      </w:r>
    </w:p>
    <w:p w14:paraId="5720CFF1" w14:textId="77777777" w:rsidR="003341DB" w:rsidRDefault="003341DB" w:rsidP="00CA4E25">
      <w:pPr>
        <w:spacing w:after="0"/>
        <w:ind w:left="270"/>
        <w:rPr>
          <w:sz w:val="20"/>
          <w:szCs w:val="20"/>
        </w:rPr>
      </w:pPr>
    </w:p>
    <w:p w14:paraId="18AF2D48" w14:textId="6E6B80F5" w:rsidR="00473346" w:rsidRDefault="009944E9" w:rsidP="00CA4E25">
      <w:pPr>
        <w:spacing w:after="0"/>
        <w:ind w:left="270"/>
        <w:rPr>
          <w:sz w:val="20"/>
          <w:szCs w:val="20"/>
        </w:rPr>
      </w:pPr>
      <w:r>
        <w:rPr>
          <w:sz w:val="20"/>
          <w:szCs w:val="20"/>
        </w:rPr>
        <w:t xml:space="preserve">See ECF-4.1-CaseListResponseMessage.xml, ECF-4.1-CaseQueryMessage.xml, ECF-4.1-CaseResponseMessage.xml, ECF-4.1-CoreFilingMessage-Criinal.xml, ECF-4.1-CourtPolicyQueryMessage.xml, ECF-4.1-CourtPolicyResponseMessage.xml, ECF-4.1-DocumentQueryMessage.xml, ECF-41.-DocumentResponseMessage.xml, </w:t>
      </w:r>
      <w:r w:rsidR="0093507A">
        <w:rPr>
          <w:sz w:val="20"/>
          <w:szCs w:val="20"/>
        </w:rPr>
        <w:t>ECF-4.1-FeesCalculationResponseMessage.xml, ECF-4.1-FilingListQueryMessage.xml, ECF-41.-FilingListResponseMessage.xml, ECF-4</w:t>
      </w:r>
      <w:r w:rsidR="00305A2F">
        <w:rPr>
          <w:sz w:val="20"/>
          <w:szCs w:val="20"/>
        </w:rPr>
        <w:t xml:space="preserve">.1-FilingStatusQueryMessage.xml, ECF-4.1-FilingStatusResponseMessage.xml, </w:t>
      </w:r>
      <w:r w:rsidR="00BD6EC0">
        <w:rPr>
          <w:sz w:val="20"/>
          <w:szCs w:val="20"/>
        </w:rPr>
        <w:t xml:space="preserve">ECF-4.1-MessageReceiptMessage.xml, </w:t>
      </w:r>
      <w:r w:rsidR="00A81FEE">
        <w:rPr>
          <w:sz w:val="20"/>
          <w:szCs w:val="20"/>
        </w:rPr>
        <w:t xml:space="preserve">ECF-4.1-PaymentMessage.xml, ECF-4.1-PaymentReceiptMesage.xml, </w:t>
      </w:r>
      <w:r w:rsidR="00CE6A24">
        <w:rPr>
          <w:sz w:val="20"/>
          <w:szCs w:val="20"/>
        </w:rPr>
        <w:t xml:space="preserve">ECF-4.1-RecordDocketingMessage.xml, ECF-4.1-ServiceInformationQueryMessage.xml, </w:t>
      </w:r>
      <w:r w:rsidR="003341DB">
        <w:rPr>
          <w:sz w:val="20"/>
          <w:szCs w:val="20"/>
        </w:rPr>
        <w:t>ECF-4.1-ServiceInformationResponseMessage.xml, &amp; ECF-4.1-ServiceReceiptMessage.xml.</w:t>
      </w:r>
    </w:p>
    <w:p w14:paraId="2D3F3689" w14:textId="6D1BDF3D" w:rsidR="00352B7C" w:rsidRDefault="00352B7C" w:rsidP="00CA4E25">
      <w:pPr>
        <w:spacing w:after="0"/>
        <w:ind w:left="270"/>
        <w:rPr>
          <w:sz w:val="20"/>
          <w:szCs w:val="20"/>
        </w:rPr>
      </w:pPr>
    </w:p>
    <w:p w14:paraId="61500D36" w14:textId="2A644CF8" w:rsidR="00352B7C" w:rsidRDefault="00352B7C" w:rsidP="00CA4E25">
      <w:pPr>
        <w:spacing w:after="0"/>
        <w:ind w:left="270"/>
        <w:rPr>
          <w:sz w:val="20"/>
          <w:szCs w:val="20"/>
        </w:rPr>
      </w:pPr>
      <w:r>
        <w:rPr>
          <w:sz w:val="20"/>
          <w:szCs w:val="20"/>
        </w:rPr>
        <w:t>Recommendation: Ensure all ECF 4.1 message examples provide a single version relevant comments header.</w:t>
      </w:r>
    </w:p>
    <w:p w14:paraId="01052B1F" w14:textId="3E540560" w:rsidR="00FA1B34" w:rsidRDefault="00FA1B34" w:rsidP="00CB4DAE">
      <w:pPr>
        <w:spacing w:after="0"/>
        <w:rPr>
          <w:sz w:val="20"/>
          <w:szCs w:val="20"/>
        </w:rPr>
      </w:pPr>
    </w:p>
    <w:p w14:paraId="385F07CC" w14:textId="77777777" w:rsidR="00FA1B34" w:rsidRDefault="00FA1B34" w:rsidP="00CB4DAE">
      <w:pPr>
        <w:spacing w:after="0"/>
        <w:rPr>
          <w:sz w:val="20"/>
          <w:szCs w:val="20"/>
        </w:rPr>
      </w:pPr>
    </w:p>
    <w:p w14:paraId="293B5AD1" w14:textId="1F9BD77C" w:rsidR="00576077" w:rsidRDefault="00D2242A" w:rsidP="00CB4DAE">
      <w:pPr>
        <w:spacing w:after="0"/>
        <w:rPr>
          <w:sz w:val="20"/>
          <w:szCs w:val="20"/>
        </w:rPr>
      </w:pPr>
      <w:r>
        <w:rPr>
          <w:sz w:val="20"/>
          <w:szCs w:val="20"/>
        </w:rPr>
        <w:t>9. Portable Media SIP</w:t>
      </w:r>
    </w:p>
    <w:p w14:paraId="38A67BCA" w14:textId="65E7B4F8" w:rsidR="00D2242A" w:rsidRDefault="00D2242A" w:rsidP="00CB4DAE">
      <w:pPr>
        <w:spacing w:after="0"/>
        <w:rPr>
          <w:sz w:val="20"/>
          <w:szCs w:val="20"/>
        </w:rPr>
      </w:pPr>
    </w:p>
    <w:p w14:paraId="05167DF7" w14:textId="78D0669F" w:rsidR="00D2242A" w:rsidRDefault="00D2242A" w:rsidP="00A27C84">
      <w:pPr>
        <w:spacing w:after="0"/>
        <w:ind w:left="270"/>
        <w:rPr>
          <w:sz w:val="20"/>
          <w:szCs w:val="20"/>
        </w:rPr>
      </w:pPr>
      <w:r>
        <w:rPr>
          <w:sz w:val="20"/>
          <w:szCs w:val="20"/>
        </w:rPr>
        <w:t xml:space="preserve">Section 5.3 </w:t>
      </w:r>
      <w:r w:rsidR="00214338">
        <w:rPr>
          <w:sz w:val="20"/>
          <w:szCs w:val="20"/>
        </w:rPr>
        <w:t>‘</w:t>
      </w:r>
      <w:r>
        <w:rPr>
          <w:sz w:val="20"/>
          <w:szCs w:val="20"/>
        </w:rPr>
        <w:t>Supported Service Interaction Profiles</w:t>
      </w:r>
      <w:r w:rsidR="00214338">
        <w:rPr>
          <w:sz w:val="20"/>
          <w:szCs w:val="20"/>
        </w:rPr>
        <w:t>’</w:t>
      </w:r>
      <w:r>
        <w:rPr>
          <w:sz w:val="20"/>
          <w:szCs w:val="20"/>
        </w:rPr>
        <w:t xml:space="preserve"> includes the Portable Media SIP 1.01. Should this reference ‘Electronic Court Filing 4.0 Portable Media Service Interaction Profile Version 2.0’ </w:t>
      </w:r>
      <w:r w:rsidR="00D340F3">
        <w:rPr>
          <w:sz w:val="20"/>
          <w:szCs w:val="20"/>
        </w:rPr>
        <w:t xml:space="preserve">(Committee Draft 01, 21- September 2008) </w:t>
      </w:r>
      <w:r>
        <w:rPr>
          <w:sz w:val="20"/>
          <w:szCs w:val="20"/>
        </w:rPr>
        <w:t>instead?</w:t>
      </w:r>
    </w:p>
    <w:p w14:paraId="7D1C7075" w14:textId="4FF72F0B" w:rsidR="00A27C84" w:rsidRDefault="00A27C84" w:rsidP="00A27C84">
      <w:pPr>
        <w:spacing w:after="0"/>
        <w:ind w:left="270"/>
        <w:rPr>
          <w:sz w:val="20"/>
          <w:szCs w:val="20"/>
        </w:rPr>
      </w:pPr>
    </w:p>
    <w:p w14:paraId="58D4A365" w14:textId="043A09DC" w:rsidR="00A27C84" w:rsidRDefault="00A27C84" w:rsidP="00A27C84">
      <w:pPr>
        <w:spacing w:after="0"/>
        <w:ind w:left="270"/>
        <w:rPr>
          <w:sz w:val="20"/>
          <w:szCs w:val="20"/>
        </w:rPr>
      </w:pPr>
      <w:r>
        <w:rPr>
          <w:sz w:val="20"/>
          <w:szCs w:val="20"/>
        </w:rPr>
        <w:lastRenderedPageBreak/>
        <w:t>Note that ‘Portable Media Messaging Profile 1.0’ (Committee Draft, November 15, 2005) is intended for use with ECF 3.0.</w:t>
      </w:r>
    </w:p>
    <w:p w14:paraId="4198ED40" w14:textId="22D29029" w:rsidR="000E4B02" w:rsidRDefault="000E4B02" w:rsidP="00A27C84">
      <w:pPr>
        <w:spacing w:after="0"/>
        <w:ind w:left="270"/>
        <w:rPr>
          <w:sz w:val="20"/>
          <w:szCs w:val="20"/>
        </w:rPr>
      </w:pPr>
    </w:p>
    <w:p w14:paraId="789BA05C" w14:textId="77777777" w:rsidR="000E4B02" w:rsidRDefault="000E4B02" w:rsidP="00A27C84">
      <w:pPr>
        <w:spacing w:after="0"/>
        <w:ind w:left="270"/>
        <w:rPr>
          <w:sz w:val="20"/>
          <w:szCs w:val="20"/>
        </w:rPr>
      </w:pPr>
      <w:r>
        <w:rPr>
          <w:sz w:val="20"/>
          <w:szCs w:val="20"/>
        </w:rPr>
        <w:t>Portable Media SIP v2.0 specifies (Introduction): “</w:t>
      </w:r>
      <w:r w:rsidRPr="000E4B02">
        <w:rPr>
          <w:color w:val="0070C0"/>
          <w:sz w:val="20"/>
          <w:szCs w:val="20"/>
        </w:rPr>
        <w:t>This document is a Proposed Standard developed by the OASIS LegalXML Member Section’s Electronic Court Filing (ECF) Technical Committee that defines a service interaction profile for use with the ECF 4.0 specification that does not require an active network connection.</w:t>
      </w:r>
      <w:r>
        <w:rPr>
          <w:sz w:val="20"/>
          <w:szCs w:val="20"/>
        </w:rPr>
        <w:t>”</w:t>
      </w:r>
    </w:p>
    <w:p w14:paraId="645FB85F" w14:textId="77777777" w:rsidR="000E4B02" w:rsidRDefault="000E4B02" w:rsidP="00A27C84">
      <w:pPr>
        <w:spacing w:after="0"/>
        <w:ind w:left="270"/>
        <w:rPr>
          <w:sz w:val="20"/>
          <w:szCs w:val="20"/>
        </w:rPr>
      </w:pPr>
    </w:p>
    <w:p w14:paraId="02F13B8E" w14:textId="7AD70089" w:rsidR="000E4B02" w:rsidRDefault="000E4B02" w:rsidP="00A27C84">
      <w:pPr>
        <w:spacing w:after="0"/>
        <w:ind w:left="270"/>
        <w:rPr>
          <w:sz w:val="20"/>
          <w:szCs w:val="20"/>
        </w:rPr>
      </w:pPr>
      <w:r>
        <w:rPr>
          <w:sz w:val="20"/>
          <w:szCs w:val="20"/>
        </w:rPr>
        <w:t>Does a new version of the Portable Media specification, that specifically includes [ECF-v4.1]</w:t>
      </w:r>
      <w:r w:rsidR="0047190C">
        <w:rPr>
          <w:sz w:val="20"/>
          <w:szCs w:val="20"/>
        </w:rPr>
        <w:t>,</w:t>
      </w:r>
      <w:r>
        <w:rPr>
          <w:sz w:val="20"/>
          <w:szCs w:val="20"/>
        </w:rPr>
        <w:t xml:space="preserve"> need to be produced or is it sufficient for the [ECF-v4.1] specification to prescribe </w:t>
      </w:r>
      <w:r w:rsidR="00D4511E">
        <w:rPr>
          <w:sz w:val="20"/>
          <w:szCs w:val="20"/>
        </w:rPr>
        <w:t xml:space="preserve">Portable Media SIP </w:t>
      </w:r>
      <w:r>
        <w:rPr>
          <w:sz w:val="20"/>
          <w:szCs w:val="20"/>
        </w:rPr>
        <w:t xml:space="preserve">compatibility in its section 5.3? </w:t>
      </w:r>
    </w:p>
    <w:p w14:paraId="34F0CF09" w14:textId="154358B3" w:rsidR="000B4F2D" w:rsidRDefault="000B4F2D" w:rsidP="00A27C84">
      <w:pPr>
        <w:spacing w:after="0"/>
        <w:ind w:left="270"/>
        <w:rPr>
          <w:sz w:val="20"/>
          <w:szCs w:val="20"/>
        </w:rPr>
      </w:pPr>
    </w:p>
    <w:p w14:paraId="53AE88FE" w14:textId="2A30A6B1" w:rsidR="000B4F2D" w:rsidRDefault="000B4F2D" w:rsidP="00A27C84">
      <w:pPr>
        <w:spacing w:after="0"/>
        <w:ind w:left="270"/>
        <w:rPr>
          <w:sz w:val="20"/>
          <w:szCs w:val="20"/>
        </w:rPr>
      </w:pPr>
      <w:r>
        <w:rPr>
          <w:sz w:val="20"/>
          <w:szCs w:val="20"/>
        </w:rPr>
        <w:t xml:space="preserve">If considering an updated Portable Media SIP (PM-SIP) specification for ECF 4.1, then consider that the PM-SIP </w:t>
      </w:r>
      <w:r w:rsidR="00D76C56">
        <w:rPr>
          <w:sz w:val="20"/>
          <w:szCs w:val="20"/>
        </w:rPr>
        <w:t xml:space="preserve">inadequately addresses exchanges other than </w:t>
      </w:r>
      <w:r w:rsidR="00475B84">
        <w:rPr>
          <w:sz w:val="20"/>
          <w:szCs w:val="20"/>
        </w:rPr>
        <w:t>t</w:t>
      </w:r>
      <w:r w:rsidR="00D76C56">
        <w:rPr>
          <w:sz w:val="20"/>
          <w:szCs w:val="20"/>
        </w:rPr>
        <w:t>he Review Filing Request exchange between an FAMDE and an FRMDE. The PM-SIP cannot be satisfactorily used for any other exchange.</w:t>
      </w:r>
      <w:r w:rsidR="00355A3F">
        <w:rPr>
          <w:sz w:val="20"/>
          <w:szCs w:val="20"/>
        </w:rPr>
        <w:t xml:space="preserve"> To wit, the PM-SIP, section 2.4 </w:t>
      </w:r>
      <w:r w:rsidR="00214338">
        <w:rPr>
          <w:sz w:val="20"/>
          <w:szCs w:val="20"/>
        </w:rPr>
        <w:t>‘</w:t>
      </w:r>
      <w:r w:rsidR="00355A3F">
        <w:rPr>
          <w:sz w:val="20"/>
          <w:szCs w:val="20"/>
        </w:rPr>
        <w:t>Operation Addressing</w:t>
      </w:r>
      <w:r w:rsidR="00214338">
        <w:rPr>
          <w:sz w:val="20"/>
          <w:szCs w:val="20"/>
        </w:rPr>
        <w:t>’</w:t>
      </w:r>
      <w:r w:rsidR="00355A3F">
        <w:rPr>
          <w:sz w:val="20"/>
          <w:szCs w:val="20"/>
        </w:rPr>
        <w:t xml:space="preserve"> states: “</w:t>
      </w:r>
      <w:r w:rsidR="00355A3F" w:rsidRPr="00355A3F">
        <w:rPr>
          <w:color w:val="0070C0"/>
          <w:sz w:val="20"/>
          <w:szCs w:val="20"/>
        </w:rPr>
        <w:t>In this version of the service interaction profile, the only supported operations WILL be the ECF 4.0 ReviewFiling operation and the corresponding synchronous response.  It WILL NOT support any of the ECF 4.0 query, asynchronous response, or electronic service operations or the RecordFiling operation.</w:t>
      </w:r>
      <w:r w:rsidR="00355A3F" w:rsidRPr="00717D5F">
        <w:rPr>
          <w:sz w:val="20"/>
          <w:szCs w:val="20"/>
        </w:rPr>
        <w:t>”</w:t>
      </w:r>
    </w:p>
    <w:p w14:paraId="277798F0" w14:textId="3232F15A" w:rsidR="00322BC7" w:rsidRDefault="00322BC7" w:rsidP="00A27C84">
      <w:pPr>
        <w:spacing w:after="0"/>
        <w:ind w:left="270"/>
        <w:rPr>
          <w:sz w:val="20"/>
          <w:szCs w:val="20"/>
        </w:rPr>
      </w:pPr>
    </w:p>
    <w:p w14:paraId="2DDF18EC" w14:textId="77777777" w:rsidR="00322BC7" w:rsidRDefault="00322BC7" w:rsidP="00322BC7">
      <w:pPr>
        <w:spacing w:after="0"/>
        <w:ind w:left="270"/>
        <w:rPr>
          <w:sz w:val="20"/>
          <w:szCs w:val="20"/>
        </w:rPr>
      </w:pPr>
      <w:r>
        <w:rPr>
          <w:sz w:val="20"/>
          <w:szCs w:val="20"/>
        </w:rPr>
        <w:t xml:space="preserve">Recommendation:  Either introduce a new version of the Portable Media specification for ECF v4.1 or prescribe Portable Media SIP compatibility in section 5.3.  If the former, adequately address FAMDE-to-FRMDE message exchanges, in addition to Review Filing Request. </w:t>
      </w:r>
    </w:p>
    <w:p w14:paraId="01F956BD" w14:textId="2B6016CF" w:rsidR="00D2242A" w:rsidRDefault="00D2242A" w:rsidP="00CB4DAE">
      <w:pPr>
        <w:spacing w:after="0"/>
        <w:rPr>
          <w:sz w:val="20"/>
          <w:szCs w:val="20"/>
        </w:rPr>
      </w:pPr>
    </w:p>
    <w:p w14:paraId="2057CB82" w14:textId="77777777" w:rsidR="003C1E13" w:rsidRDefault="003C1E13" w:rsidP="00CB4DAE">
      <w:pPr>
        <w:spacing w:after="0"/>
        <w:rPr>
          <w:sz w:val="20"/>
          <w:szCs w:val="20"/>
        </w:rPr>
      </w:pPr>
    </w:p>
    <w:p w14:paraId="61ADE9DC" w14:textId="63CE83CA" w:rsidR="00F4289E" w:rsidRPr="00A54FE2" w:rsidRDefault="00A27C84" w:rsidP="003C1E13">
      <w:pPr>
        <w:spacing w:after="0"/>
        <w:rPr>
          <w:strike/>
          <w:sz w:val="20"/>
          <w:szCs w:val="20"/>
        </w:rPr>
      </w:pPr>
      <w:r>
        <w:rPr>
          <w:sz w:val="20"/>
          <w:szCs w:val="20"/>
        </w:rPr>
        <w:t xml:space="preserve">10. </w:t>
      </w:r>
      <w:r w:rsidR="003C1E13">
        <w:rPr>
          <w:sz w:val="20"/>
          <w:szCs w:val="20"/>
        </w:rPr>
        <w:t>NotifyDocketingComplete operation optional?</w:t>
      </w:r>
    </w:p>
    <w:p w14:paraId="74CEA4BF" w14:textId="36933251" w:rsidR="00EC23CB" w:rsidRDefault="00EC23CB" w:rsidP="00CB4DAE">
      <w:pPr>
        <w:spacing w:after="0"/>
        <w:rPr>
          <w:sz w:val="20"/>
          <w:szCs w:val="20"/>
        </w:rPr>
      </w:pPr>
    </w:p>
    <w:p w14:paraId="45B284C1" w14:textId="679B4903" w:rsidR="003C1E13" w:rsidRDefault="003C1E13" w:rsidP="003C1E13">
      <w:pPr>
        <w:spacing w:after="0"/>
        <w:ind w:left="270"/>
        <w:rPr>
          <w:sz w:val="20"/>
          <w:szCs w:val="20"/>
        </w:rPr>
      </w:pPr>
      <w:r>
        <w:rPr>
          <w:sz w:val="20"/>
          <w:szCs w:val="20"/>
        </w:rPr>
        <w:t>Section 3.1 ‘The Filing-Preparation-to-Docketing Process Model’ specifies that “</w:t>
      </w:r>
      <w:r w:rsidRPr="003C1E13">
        <w:rPr>
          <w:color w:val="0070C0"/>
          <w:sz w:val="20"/>
          <w:szCs w:val="20"/>
        </w:rPr>
        <w:t>the operations in bold are required</w:t>
      </w:r>
      <w:r>
        <w:rPr>
          <w:sz w:val="20"/>
          <w:szCs w:val="20"/>
        </w:rPr>
        <w:t>” and then provides a list of all operations. In this list the NotifyDocketingComplete operation is not in bold text.</w:t>
      </w:r>
    </w:p>
    <w:p w14:paraId="4B4CE27D" w14:textId="5F99AC8D" w:rsidR="003C1E13" w:rsidRDefault="003C1E13" w:rsidP="003C1E13">
      <w:pPr>
        <w:spacing w:after="0"/>
        <w:ind w:left="270"/>
        <w:rPr>
          <w:sz w:val="20"/>
          <w:szCs w:val="20"/>
        </w:rPr>
      </w:pPr>
    </w:p>
    <w:p w14:paraId="257D8094" w14:textId="05F868F2" w:rsidR="003C1E13" w:rsidRDefault="003C1E13" w:rsidP="003C1E13">
      <w:pPr>
        <w:spacing w:after="0"/>
        <w:ind w:left="270"/>
        <w:rPr>
          <w:sz w:val="20"/>
          <w:szCs w:val="20"/>
        </w:rPr>
      </w:pPr>
      <w:r>
        <w:rPr>
          <w:sz w:val="20"/>
          <w:szCs w:val="20"/>
        </w:rPr>
        <w:t>Figure 4 in the same section shows the NotifyDocketingComplete operation outside of any shaded rectangle labeled as ‘opt’ (understood to mean ‘optional’). As such, the implication provided in Figure 4 is that the NotifyDocketingComplete operation is not optional</w:t>
      </w:r>
      <w:r w:rsidR="00BE3A55">
        <w:rPr>
          <w:sz w:val="20"/>
          <w:szCs w:val="20"/>
        </w:rPr>
        <w:t>, hence required.</w:t>
      </w:r>
    </w:p>
    <w:p w14:paraId="2B7C0B5C" w14:textId="77777777" w:rsidR="003C1E13" w:rsidRDefault="003C1E13" w:rsidP="003C1E13">
      <w:pPr>
        <w:spacing w:after="0"/>
        <w:ind w:left="270"/>
        <w:rPr>
          <w:sz w:val="20"/>
          <w:szCs w:val="20"/>
        </w:rPr>
      </w:pPr>
    </w:p>
    <w:p w14:paraId="677C83BB" w14:textId="77777777" w:rsidR="003C1E13" w:rsidRDefault="003C1E13" w:rsidP="003C1E13">
      <w:pPr>
        <w:spacing w:after="0"/>
        <w:ind w:left="270"/>
        <w:rPr>
          <w:sz w:val="20"/>
          <w:szCs w:val="20"/>
        </w:rPr>
      </w:pPr>
    </w:p>
    <w:p w14:paraId="0805F52C" w14:textId="6B070C66" w:rsidR="003C1E13" w:rsidRPr="008D31EB" w:rsidRDefault="003C1E13" w:rsidP="003C1E13">
      <w:pPr>
        <w:spacing w:after="0"/>
        <w:ind w:left="270"/>
        <w:rPr>
          <w:sz w:val="20"/>
          <w:szCs w:val="20"/>
        </w:rPr>
      </w:pPr>
      <w:r>
        <w:rPr>
          <w:sz w:val="20"/>
          <w:szCs w:val="20"/>
        </w:rPr>
        <w:t>Recommendation: Correct the specification and remove th</w:t>
      </w:r>
      <w:r>
        <w:rPr>
          <w:sz w:val="20"/>
          <w:szCs w:val="20"/>
        </w:rPr>
        <w:t xml:space="preserve">is </w:t>
      </w:r>
      <w:r w:rsidR="00903882">
        <w:rPr>
          <w:sz w:val="20"/>
          <w:szCs w:val="20"/>
        </w:rPr>
        <w:t>‘</w:t>
      </w:r>
      <w:r>
        <w:rPr>
          <w:sz w:val="20"/>
          <w:szCs w:val="20"/>
        </w:rPr>
        <w:t>optional vs required</w:t>
      </w:r>
      <w:r w:rsidR="00903882">
        <w:rPr>
          <w:sz w:val="20"/>
          <w:szCs w:val="20"/>
        </w:rPr>
        <w:t>’</w:t>
      </w:r>
      <w:r>
        <w:rPr>
          <w:sz w:val="20"/>
          <w:szCs w:val="20"/>
        </w:rPr>
        <w:t xml:space="preserve"> ambiguity. Likely this means to correct Figure 4 so that NotifyDocketingComplete() is included within a shaded ‘opt’ rectangle.</w:t>
      </w:r>
    </w:p>
    <w:p w14:paraId="75460B8F" w14:textId="1B36710D" w:rsidR="003C1E13" w:rsidRDefault="003C1E13" w:rsidP="00CB4DAE">
      <w:pPr>
        <w:spacing w:after="0"/>
        <w:rPr>
          <w:sz w:val="20"/>
          <w:szCs w:val="20"/>
        </w:rPr>
      </w:pPr>
    </w:p>
    <w:p w14:paraId="129BBC31" w14:textId="1037AAD1" w:rsidR="003C1E13" w:rsidRDefault="003C1E13" w:rsidP="00CB4DAE">
      <w:pPr>
        <w:spacing w:after="0"/>
        <w:rPr>
          <w:sz w:val="20"/>
          <w:szCs w:val="20"/>
        </w:rPr>
      </w:pPr>
    </w:p>
    <w:p w14:paraId="2FE2EB80" w14:textId="5C8EB6D3" w:rsidR="005D52E8" w:rsidRDefault="005D52E8" w:rsidP="005D52E8">
      <w:pPr>
        <w:spacing w:after="0"/>
        <w:rPr>
          <w:sz w:val="20"/>
          <w:szCs w:val="20"/>
        </w:rPr>
      </w:pPr>
      <w:r>
        <w:rPr>
          <w:sz w:val="20"/>
          <w:szCs w:val="20"/>
        </w:rPr>
        <w:t>1</w:t>
      </w:r>
      <w:r>
        <w:rPr>
          <w:sz w:val="20"/>
          <w:szCs w:val="20"/>
        </w:rPr>
        <w:t>1</w:t>
      </w:r>
      <w:r>
        <w:rPr>
          <w:sz w:val="20"/>
          <w:szCs w:val="20"/>
        </w:rPr>
        <w:t>. Is machine-readable Court Policy mandatory (in an ECF compliant implementation)?</w:t>
      </w:r>
    </w:p>
    <w:p w14:paraId="2F716432" w14:textId="77777777" w:rsidR="005D52E8" w:rsidRDefault="005D52E8" w:rsidP="005D52E8">
      <w:pPr>
        <w:spacing w:after="0"/>
        <w:rPr>
          <w:sz w:val="20"/>
          <w:szCs w:val="20"/>
        </w:rPr>
      </w:pPr>
    </w:p>
    <w:p w14:paraId="2C1D8BB6" w14:textId="77777777" w:rsidR="005D52E8" w:rsidRDefault="005D52E8" w:rsidP="005D52E8">
      <w:pPr>
        <w:spacing w:after="0"/>
        <w:ind w:left="270"/>
        <w:rPr>
          <w:sz w:val="20"/>
          <w:szCs w:val="20"/>
        </w:rPr>
      </w:pPr>
      <w:r>
        <w:rPr>
          <w:sz w:val="20"/>
          <w:szCs w:val="20"/>
        </w:rPr>
        <w:t>The specification is unclear whether machine-readable Court Policy is required.</w:t>
      </w:r>
    </w:p>
    <w:p w14:paraId="04858BC7" w14:textId="77777777" w:rsidR="005D52E8" w:rsidRDefault="005D52E8" w:rsidP="005D52E8">
      <w:pPr>
        <w:spacing w:after="0"/>
        <w:ind w:left="270"/>
        <w:rPr>
          <w:sz w:val="20"/>
          <w:szCs w:val="20"/>
        </w:rPr>
      </w:pPr>
    </w:p>
    <w:p w14:paraId="12500FC9" w14:textId="77777777" w:rsidR="005D52E8" w:rsidRDefault="005D52E8" w:rsidP="005D52E8">
      <w:pPr>
        <w:spacing w:after="0"/>
        <w:ind w:left="270"/>
        <w:rPr>
          <w:sz w:val="20"/>
          <w:szCs w:val="20"/>
        </w:rPr>
      </w:pPr>
      <w:r>
        <w:rPr>
          <w:sz w:val="20"/>
          <w:szCs w:val="20"/>
        </w:rPr>
        <w:t xml:space="preserve">a) First off, the term ‘machine-readable court policy’ appears to be defined at the beginning of section 2.4 ‘CourtPolicy’, as: </w:t>
      </w:r>
    </w:p>
    <w:p w14:paraId="247A583B" w14:textId="77777777" w:rsidR="005D52E8" w:rsidRDefault="005D52E8" w:rsidP="005D52E8">
      <w:pPr>
        <w:spacing w:after="0"/>
        <w:ind w:left="270"/>
        <w:rPr>
          <w:sz w:val="20"/>
          <w:szCs w:val="20"/>
        </w:rPr>
      </w:pPr>
    </w:p>
    <w:p w14:paraId="04978A7B" w14:textId="77777777" w:rsidR="005D52E8" w:rsidRDefault="005D52E8" w:rsidP="005D52E8">
      <w:pPr>
        <w:spacing w:after="0"/>
        <w:ind w:left="270"/>
        <w:rPr>
          <w:sz w:val="20"/>
          <w:szCs w:val="20"/>
        </w:rPr>
      </w:pPr>
      <w:r w:rsidRPr="00047AF3">
        <w:rPr>
          <w:sz w:val="20"/>
          <w:szCs w:val="20"/>
        </w:rPr>
        <w:t>•</w:t>
      </w:r>
      <w:r w:rsidRPr="00047AF3">
        <w:rPr>
          <w:sz w:val="20"/>
          <w:szCs w:val="20"/>
        </w:rPr>
        <w:tab/>
      </w:r>
      <w:r w:rsidRPr="00047AF3">
        <w:rPr>
          <w:b/>
          <w:bCs/>
          <w:color w:val="0070C0"/>
          <w:sz w:val="20"/>
          <w:szCs w:val="20"/>
        </w:rPr>
        <w:t>Machine-readable court policy</w:t>
      </w:r>
      <w:r w:rsidRPr="00047AF3">
        <w:rPr>
          <w:color w:val="0070C0"/>
          <w:sz w:val="20"/>
          <w:szCs w:val="20"/>
        </w:rPr>
        <w:t xml:space="preserve"> – an ECF 4.1 message that describes the features of the ECF 4.1 implementation supported by this specification, the court’s code lists and any other information a Filing Assembly MDE would need to know in order to successfully submit an electronic filing into that court.</w:t>
      </w:r>
    </w:p>
    <w:p w14:paraId="44A84941" w14:textId="77777777" w:rsidR="005D52E8" w:rsidRDefault="005D52E8" w:rsidP="005D52E8">
      <w:pPr>
        <w:spacing w:after="0"/>
        <w:ind w:left="270"/>
        <w:rPr>
          <w:sz w:val="20"/>
          <w:szCs w:val="20"/>
        </w:rPr>
      </w:pPr>
    </w:p>
    <w:p w14:paraId="070F21C7" w14:textId="43FFEEBD" w:rsidR="005D52E8" w:rsidRDefault="005D52E8" w:rsidP="005D52E8">
      <w:pPr>
        <w:spacing w:after="0"/>
        <w:ind w:left="270"/>
        <w:rPr>
          <w:sz w:val="20"/>
          <w:szCs w:val="20"/>
        </w:rPr>
      </w:pPr>
      <w:r>
        <w:rPr>
          <w:sz w:val="20"/>
          <w:szCs w:val="20"/>
        </w:rPr>
        <w:t xml:space="preserve">The ’ECF message’ is presumably CourtPolicyResponseMessage, which would be used for machine-readable </w:t>
      </w:r>
      <w:r w:rsidR="00635C2A">
        <w:rPr>
          <w:sz w:val="20"/>
          <w:szCs w:val="20"/>
        </w:rPr>
        <w:t>C</w:t>
      </w:r>
      <w:r>
        <w:rPr>
          <w:sz w:val="20"/>
          <w:szCs w:val="20"/>
        </w:rPr>
        <w:t xml:space="preserve">ourt </w:t>
      </w:r>
      <w:r w:rsidR="00635C2A">
        <w:rPr>
          <w:sz w:val="20"/>
          <w:szCs w:val="20"/>
        </w:rPr>
        <w:t>P</w:t>
      </w:r>
      <w:r>
        <w:rPr>
          <w:sz w:val="20"/>
          <w:szCs w:val="20"/>
        </w:rPr>
        <w:t xml:space="preserve">olicy and never for human-readable </w:t>
      </w:r>
      <w:r w:rsidR="00635C2A">
        <w:rPr>
          <w:sz w:val="20"/>
          <w:szCs w:val="20"/>
        </w:rPr>
        <w:t>C</w:t>
      </w:r>
      <w:r>
        <w:rPr>
          <w:sz w:val="20"/>
          <w:szCs w:val="20"/>
        </w:rPr>
        <w:t xml:space="preserve">ourt </w:t>
      </w:r>
      <w:r w:rsidR="00635C2A">
        <w:rPr>
          <w:sz w:val="20"/>
          <w:szCs w:val="20"/>
        </w:rPr>
        <w:t>P</w:t>
      </w:r>
      <w:r>
        <w:rPr>
          <w:sz w:val="20"/>
          <w:szCs w:val="20"/>
        </w:rPr>
        <w:t>olicy.</w:t>
      </w:r>
    </w:p>
    <w:p w14:paraId="6A8F76A1" w14:textId="77777777" w:rsidR="005D52E8" w:rsidRDefault="005D52E8" w:rsidP="005D52E8">
      <w:pPr>
        <w:spacing w:after="0"/>
        <w:ind w:left="270"/>
        <w:rPr>
          <w:sz w:val="20"/>
          <w:szCs w:val="20"/>
        </w:rPr>
      </w:pPr>
    </w:p>
    <w:p w14:paraId="1CC6E631" w14:textId="77777777" w:rsidR="005D52E8" w:rsidRDefault="005D52E8" w:rsidP="005D52E8">
      <w:pPr>
        <w:spacing w:after="0"/>
        <w:ind w:left="270"/>
        <w:rPr>
          <w:sz w:val="20"/>
          <w:szCs w:val="20"/>
        </w:rPr>
      </w:pPr>
      <w:r>
        <w:rPr>
          <w:sz w:val="20"/>
          <w:szCs w:val="20"/>
        </w:rPr>
        <w:t>b) Section 3.1 ‘The Filing-Preparation-to-Docketing Process Model’ identifies that the CourtPolicy operation is not required, and the GetPolicy() exchange between FAMDE and FRMDE is optional.</w:t>
      </w:r>
    </w:p>
    <w:p w14:paraId="1579A844" w14:textId="77777777" w:rsidR="005D52E8" w:rsidRDefault="005D52E8" w:rsidP="005D52E8">
      <w:pPr>
        <w:spacing w:after="0"/>
        <w:ind w:left="270"/>
        <w:rPr>
          <w:sz w:val="20"/>
          <w:szCs w:val="20"/>
        </w:rPr>
      </w:pPr>
    </w:p>
    <w:p w14:paraId="7738F099" w14:textId="734EC4AF" w:rsidR="005D52E8" w:rsidRDefault="005D52E8" w:rsidP="005D52E8">
      <w:pPr>
        <w:spacing w:after="0"/>
        <w:ind w:left="270"/>
        <w:rPr>
          <w:sz w:val="20"/>
          <w:szCs w:val="20"/>
        </w:rPr>
      </w:pPr>
      <w:r>
        <w:rPr>
          <w:sz w:val="20"/>
          <w:szCs w:val="20"/>
        </w:rPr>
        <w:t>c). Section 3.2.1 ‘GetPolicy’ states “</w:t>
      </w:r>
      <w:r w:rsidRPr="009501A7">
        <w:rPr>
          <w:color w:val="0070C0"/>
          <w:sz w:val="20"/>
          <w:szCs w:val="20"/>
        </w:rPr>
        <w:t>The Filing Assembly MDE MAY obtain a court’s machine-readable court policy at any time by invoking the GetPolicy operation on the Filing Review MDE with the identifier for the court</w:t>
      </w:r>
      <w:r>
        <w:rPr>
          <w:sz w:val="20"/>
          <w:szCs w:val="20"/>
        </w:rPr>
        <w:t>“, and “</w:t>
      </w:r>
      <w:r w:rsidRPr="009501A7">
        <w:rPr>
          <w:color w:val="0070C0"/>
          <w:sz w:val="20"/>
          <w:szCs w:val="20"/>
        </w:rPr>
        <w:t>This step may be omitted if the Filing Assembly MDE already has the current court policy</w:t>
      </w:r>
      <w:r w:rsidRPr="009501A7">
        <w:rPr>
          <w:sz w:val="20"/>
          <w:szCs w:val="20"/>
        </w:rPr>
        <w:t>.</w:t>
      </w:r>
      <w:r>
        <w:rPr>
          <w:sz w:val="20"/>
          <w:szCs w:val="20"/>
        </w:rPr>
        <w:t>”</w:t>
      </w:r>
      <w:r w:rsidR="00726596">
        <w:rPr>
          <w:sz w:val="20"/>
          <w:szCs w:val="20"/>
        </w:rPr>
        <w:t xml:space="preserve"> The key word here is “may” and not “must”.</w:t>
      </w:r>
    </w:p>
    <w:p w14:paraId="5E730AC0" w14:textId="77777777" w:rsidR="005D52E8" w:rsidRDefault="005D52E8" w:rsidP="005D52E8">
      <w:pPr>
        <w:spacing w:after="0"/>
        <w:ind w:left="270"/>
        <w:rPr>
          <w:sz w:val="20"/>
          <w:szCs w:val="20"/>
        </w:rPr>
      </w:pPr>
    </w:p>
    <w:p w14:paraId="7E705A9D" w14:textId="77777777" w:rsidR="005D52E8" w:rsidRDefault="005D52E8" w:rsidP="005D52E8">
      <w:pPr>
        <w:spacing w:after="0"/>
        <w:ind w:left="270"/>
        <w:rPr>
          <w:sz w:val="20"/>
          <w:szCs w:val="20"/>
        </w:rPr>
      </w:pPr>
      <w:r>
        <w:rPr>
          <w:sz w:val="20"/>
          <w:szCs w:val="20"/>
        </w:rPr>
        <w:t>d) Nevertheless, on line 506 in section 2.4.2 ‘Machine-Readable’ Court Policy’, says:</w:t>
      </w:r>
    </w:p>
    <w:p w14:paraId="37512455" w14:textId="77777777" w:rsidR="005D52E8" w:rsidRDefault="005D52E8" w:rsidP="005D52E8">
      <w:pPr>
        <w:spacing w:after="0"/>
        <w:ind w:left="270"/>
        <w:rPr>
          <w:sz w:val="20"/>
          <w:szCs w:val="20"/>
        </w:rPr>
      </w:pPr>
      <w:r>
        <w:rPr>
          <w:sz w:val="20"/>
          <w:szCs w:val="20"/>
        </w:rPr>
        <w:t>“</w:t>
      </w:r>
      <w:r w:rsidRPr="009501A7">
        <w:rPr>
          <w:color w:val="0070C0"/>
          <w:sz w:val="20"/>
          <w:szCs w:val="20"/>
        </w:rPr>
        <w:t>The machine readable court policy MUST be provided to the Filing Assembly MDE either by the Filing Review MDE through the GetCourtPolicy query or some other means.</w:t>
      </w:r>
      <w:r>
        <w:rPr>
          <w:sz w:val="20"/>
          <w:szCs w:val="20"/>
        </w:rPr>
        <w:t>”</w:t>
      </w:r>
    </w:p>
    <w:p w14:paraId="3EEBAEEA" w14:textId="77777777" w:rsidR="005D52E8" w:rsidRDefault="005D52E8" w:rsidP="005D52E8">
      <w:pPr>
        <w:spacing w:after="0"/>
        <w:ind w:left="270"/>
        <w:rPr>
          <w:sz w:val="20"/>
          <w:szCs w:val="20"/>
        </w:rPr>
      </w:pPr>
    </w:p>
    <w:p w14:paraId="72A21F45" w14:textId="77777777" w:rsidR="005D52E8" w:rsidRDefault="005D52E8" w:rsidP="005D52E8">
      <w:pPr>
        <w:spacing w:after="0"/>
        <w:ind w:left="270"/>
        <w:rPr>
          <w:sz w:val="20"/>
          <w:szCs w:val="20"/>
        </w:rPr>
      </w:pPr>
      <w:r>
        <w:rPr>
          <w:sz w:val="20"/>
          <w:szCs w:val="20"/>
        </w:rPr>
        <w:t>It is not clear what this requirement means.</w:t>
      </w:r>
    </w:p>
    <w:p w14:paraId="50969938" w14:textId="77777777" w:rsidR="005D52E8" w:rsidRDefault="005D52E8" w:rsidP="005D52E8">
      <w:pPr>
        <w:spacing w:after="0"/>
        <w:ind w:left="270"/>
        <w:rPr>
          <w:sz w:val="20"/>
          <w:szCs w:val="20"/>
        </w:rPr>
      </w:pPr>
    </w:p>
    <w:p w14:paraId="3C80DCA0" w14:textId="77777777" w:rsidR="005D52E8" w:rsidRDefault="005D52E8" w:rsidP="005D52E8">
      <w:pPr>
        <w:spacing w:after="0"/>
        <w:ind w:left="270"/>
        <w:rPr>
          <w:sz w:val="20"/>
          <w:szCs w:val="20"/>
        </w:rPr>
      </w:pPr>
      <w:r>
        <w:rPr>
          <w:sz w:val="20"/>
          <w:szCs w:val="20"/>
        </w:rPr>
        <w:t xml:space="preserve">Taken all together, it appears to: </w:t>
      </w:r>
    </w:p>
    <w:p w14:paraId="369CB374" w14:textId="77777777" w:rsidR="005D52E8" w:rsidRDefault="005D52E8" w:rsidP="005D52E8">
      <w:pPr>
        <w:spacing w:after="0"/>
        <w:ind w:left="270"/>
        <w:rPr>
          <w:sz w:val="20"/>
          <w:szCs w:val="20"/>
        </w:rPr>
      </w:pPr>
    </w:p>
    <w:p w14:paraId="349D2E00" w14:textId="331F2310" w:rsidR="005D52E8" w:rsidRDefault="005D52E8" w:rsidP="005D52E8">
      <w:pPr>
        <w:spacing w:after="0"/>
        <w:ind w:left="270"/>
        <w:rPr>
          <w:sz w:val="20"/>
          <w:szCs w:val="20"/>
        </w:rPr>
      </w:pPr>
      <w:r>
        <w:rPr>
          <w:sz w:val="20"/>
          <w:szCs w:val="20"/>
        </w:rPr>
        <w:t>a) require machine-readable court policy in some form (not necessarily in design, structure or content as seemingly envisioned by the CourtPolicyQueryMessage, provided that it meets the purposes in section 2.4.2).</w:t>
      </w:r>
    </w:p>
    <w:p w14:paraId="0CFA8D12" w14:textId="77777777" w:rsidR="005D52E8" w:rsidRDefault="005D52E8" w:rsidP="005D52E8">
      <w:pPr>
        <w:spacing w:after="0"/>
        <w:ind w:left="270"/>
        <w:rPr>
          <w:sz w:val="20"/>
          <w:szCs w:val="20"/>
        </w:rPr>
      </w:pPr>
    </w:p>
    <w:p w14:paraId="0302A191" w14:textId="406B103E" w:rsidR="005D52E8" w:rsidRDefault="005D52E8" w:rsidP="005D52E8">
      <w:pPr>
        <w:spacing w:after="0"/>
        <w:ind w:left="270"/>
        <w:rPr>
          <w:sz w:val="20"/>
          <w:szCs w:val="20"/>
        </w:rPr>
      </w:pPr>
      <w:r>
        <w:rPr>
          <w:sz w:val="20"/>
          <w:szCs w:val="20"/>
        </w:rPr>
        <w:t xml:space="preserve">b) require that the FAMDE utilize this Court Policy (but not necessarily obtain this court policy via an ECF GetPolicy operation or by employing CourtPolicyResponseMessage). </w:t>
      </w:r>
      <w:r w:rsidR="00FE2A96">
        <w:rPr>
          <w:sz w:val="20"/>
          <w:szCs w:val="20"/>
        </w:rPr>
        <w:t xml:space="preserve">It seems that FAMDE is allowed to </w:t>
      </w:r>
      <w:r w:rsidR="00FA3886">
        <w:rPr>
          <w:sz w:val="20"/>
          <w:szCs w:val="20"/>
        </w:rPr>
        <w:t xml:space="preserve">either </w:t>
      </w:r>
      <w:r w:rsidR="00FE2A96">
        <w:rPr>
          <w:sz w:val="20"/>
          <w:szCs w:val="20"/>
        </w:rPr>
        <w:t>already posse</w:t>
      </w:r>
      <w:r w:rsidR="00FA3886">
        <w:rPr>
          <w:sz w:val="20"/>
          <w:szCs w:val="20"/>
        </w:rPr>
        <w:t>ss</w:t>
      </w:r>
      <w:r w:rsidR="00FE2A96">
        <w:rPr>
          <w:sz w:val="20"/>
          <w:szCs w:val="20"/>
        </w:rPr>
        <w:t xml:space="preserve"> current court policy</w:t>
      </w:r>
      <w:r w:rsidR="00FA3886">
        <w:rPr>
          <w:sz w:val="20"/>
          <w:szCs w:val="20"/>
        </w:rPr>
        <w:t xml:space="preserve"> or must obtain it by invoking</w:t>
      </w:r>
      <w:r w:rsidR="00FE2A96">
        <w:rPr>
          <w:sz w:val="20"/>
          <w:szCs w:val="20"/>
        </w:rPr>
        <w:t xml:space="preserve"> the ECF v4.1 GetPolicy operation.</w:t>
      </w:r>
    </w:p>
    <w:p w14:paraId="16FCE9BB" w14:textId="77777777" w:rsidR="005D52E8" w:rsidRDefault="005D52E8" w:rsidP="005D52E8">
      <w:pPr>
        <w:spacing w:after="0"/>
        <w:ind w:left="270"/>
        <w:rPr>
          <w:sz w:val="20"/>
          <w:szCs w:val="20"/>
        </w:rPr>
      </w:pPr>
    </w:p>
    <w:p w14:paraId="7F9F6B4C" w14:textId="1737C3C1" w:rsidR="005D52E8" w:rsidRDefault="005D52E8" w:rsidP="005D52E8">
      <w:pPr>
        <w:spacing w:after="0"/>
        <w:ind w:left="270"/>
        <w:rPr>
          <w:sz w:val="20"/>
          <w:szCs w:val="20"/>
        </w:rPr>
      </w:pPr>
      <w:r>
        <w:rPr>
          <w:sz w:val="20"/>
          <w:szCs w:val="20"/>
        </w:rPr>
        <w:t>If the above is a correct interpretation, then what is to be made o</w:t>
      </w:r>
      <w:r w:rsidR="005E2080">
        <w:rPr>
          <w:sz w:val="20"/>
          <w:szCs w:val="20"/>
        </w:rPr>
        <w:t>f</w:t>
      </w:r>
      <w:r>
        <w:rPr>
          <w:sz w:val="20"/>
          <w:szCs w:val="20"/>
        </w:rPr>
        <w:t xml:space="preserve"> the words from line 506 “</w:t>
      </w:r>
      <w:r w:rsidRPr="00FB398D">
        <w:rPr>
          <w:color w:val="0070C0"/>
          <w:sz w:val="20"/>
          <w:szCs w:val="20"/>
        </w:rPr>
        <w:t>the machine readable court policy</w:t>
      </w:r>
      <w:r>
        <w:rPr>
          <w:sz w:val="20"/>
          <w:szCs w:val="20"/>
        </w:rPr>
        <w:t>”?</w:t>
      </w:r>
    </w:p>
    <w:p w14:paraId="21E43494" w14:textId="77777777" w:rsidR="005D52E8" w:rsidRDefault="005D52E8" w:rsidP="005D52E8">
      <w:pPr>
        <w:spacing w:after="0"/>
        <w:ind w:left="270"/>
        <w:rPr>
          <w:sz w:val="20"/>
          <w:szCs w:val="20"/>
        </w:rPr>
      </w:pPr>
    </w:p>
    <w:p w14:paraId="4AC1CFE1" w14:textId="77777777" w:rsidR="005D52E8" w:rsidRDefault="005D52E8" w:rsidP="005D52E8">
      <w:pPr>
        <w:spacing w:after="0"/>
        <w:ind w:left="270"/>
        <w:rPr>
          <w:sz w:val="20"/>
          <w:szCs w:val="20"/>
        </w:rPr>
      </w:pPr>
      <w:r>
        <w:rPr>
          <w:sz w:val="20"/>
          <w:szCs w:val="20"/>
        </w:rPr>
        <w:t>Has the hyphen been deliberately left out of “machine readable” so that it is not the same as “machine-readable”?</w:t>
      </w:r>
    </w:p>
    <w:p w14:paraId="0850DAD6" w14:textId="77777777" w:rsidR="005D52E8" w:rsidRDefault="005D52E8" w:rsidP="005D52E8">
      <w:pPr>
        <w:spacing w:after="0"/>
        <w:ind w:left="270"/>
        <w:rPr>
          <w:sz w:val="20"/>
          <w:szCs w:val="20"/>
        </w:rPr>
      </w:pPr>
    </w:p>
    <w:p w14:paraId="20E7ED08" w14:textId="434B12B5" w:rsidR="005D52E8" w:rsidRDefault="005D52E8" w:rsidP="005D52E8">
      <w:pPr>
        <w:spacing w:after="0"/>
        <w:ind w:left="270"/>
        <w:rPr>
          <w:sz w:val="20"/>
          <w:szCs w:val="20"/>
        </w:rPr>
      </w:pPr>
      <w:r>
        <w:rPr>
          <w:sz w:val="20"/>
          <w:szCs w:val="20"/>
        </w:rPr>
        <w:t xml:space="preserve">If the hyphen </w:t>
      </w:r>
      <w:r w:rsidR="009E44C5">
        <w:rPr>
          <w:sz w:val="20"/>
          <w:szCs w:val="20"/>
        </w:rPr>
        <w:t>were to be</w:t>
      </w:r>
      <w:r>
        <w:rPr>
          <w:sz w:val="20"/>
          <w:szCs w:val="20"/>
        </w:rPr>
        <w:t xml:space="preserve"> included, then does line 506 refer to the definition provided on line 453</w:t>
      </w:r>
      <w:r w:rsidR="008A4DEF">
        <w:rPr>
          <w:sz w:val="20"/>
          <w:szCs w:val="20"/>
        </w:rPr>
        <w:t xml:space="preserve"> (including the words “an ECF 4.1 message”)</w:t>
      </w:r>
      <w:r>
        <w:rPr>
          <w:sz w:val="20"/>
          <w:szCs w:val="20"/>
        </w:rPr>
        <w:t>?</w:t>
      </w:r>
    </w:p>
    <w:p w14:paraId="6FF67C4C" w14:textId="5E0B6ED6" w:rsidR="00DE77CE" w:rsidRDefault="00DE77CE" w:rsidP="005E2080">
      <w:pPr>
        <w:spacing w:after="0"/>
        <w:rPr>
          <w:sz w:val="20"/>
          <w:szCs w:val="20"/>
        </w:rPr>
      </w:pPr>
    </w:p>
    <w:p w14:paraId="77A7F210" w14:textId="147468FC" w:rsidR="00DE77CE" w:rsidRDefault="00DE77CE" w:rsidP="005D52E8">
      <w:pPr>
        <w:spacing w:after="0"/>
        <w:ind w:left="270"/>
        <w:rPr>
          <w:sz w:val="20"/>
          <w:szCs w:val="20"/>
        </w:rPr>
      </w:pPr>
      <w:r>
        <w:rPr>
          <w:sz w:val="20"/>
          <w:szCs w:val="20"/>
        </w:rPr>
        <w:t>If the absence of the hyphen indicates a different definition than that provided on line 453</w:t>
      </w:r>
      <w:r w:rsidR="008A4DEF">
        <w:rPr>
          <w:sz w:val="20"/>
          <w:szCs w:val="20"/>
        </w:rPr>
        <w:t xml:space="preserve"> (such as court policy information, not provided in the form of an ECF 4.1 message)</w:t>
      </w:r>
      <w:r>
        <w:rPr>
          <w:sz w:val="20"/>
          <w:szCs w:val="20"/>
        </w:rPr>
        <w:t xml:space="preserve"> then is the statement on line 506 simply trying to say that Filing Assembly MDEs </w:t>
      </w:r>
      <w:r w:rsidR="005E2080">
        <w:rPr>
          <w:sz w:val="20"/>
          <w:szCs w:val="20"/>
        </w:rPr>
        <w:t xml:space="preserve">must </w:t>
      </w:r>
      <w:r>
        <w:rPr>
          <w:sz w:val="20"/>
          <w:szCs w:val="20"/>
        </w:rPr>
        <w:t>have access to some form of computer prescribed policy data?</w:t>
      </w:r>
    </w:p>
    <w:p w14:paraId="56763431" w14:textId="77777777" w:rsidR="005D52E8" w:rsidRDefault="005D52E8" w:rsidP="005D52E8">
      <w:pPr>
        <w:spacing w:after="0"/>
        <w:ind w:left="270"/>
        <w:rPr>
          <w:sz w:val="20"/>
          <w:szCs w:val="20"/>
        </w:rPr>
      </w:pPr>
    </w:p>
    <w:p w14:paraId="148F980D" w14:textId="77777777" w:rsidR="00DE77CE" w:rsidRDefault="005D52E8" w:rsidP="00E83E28">
      <w:pPr>
        <w:spacing w:after="0"/>
        <w:ind w:left="270"/>
        <w:rPr>
          <w:sz w:val="20"/>
          <w:szCs w:val="20"/>
        </w:rPr>
      </w:pPr>
      <w:r>
        <w:rPr>
          <w:sz w:val="20"/>
          <w:szCs w:val="20"/>
        </w:rPr>
        <w:t xml:space="preserve">Recommendation: </w:t>
      </w:r>
    </w:p>
    <w:p w14:paraId="2C68978C" w14:textId="77777777" w:rsidR="00DE77CE" w:rsidRDefault="00DE77CE" w:rsidP="00E83E28">
      <w:pPr>
        <w:spacing w:after="0"/>
        <w:ind w:left="270"/>
        <w:rPr>
          <w:sz w:val="20"/>
          <w:szCs w:val="20"/>
        </w:rPr>
      </w:pPr>
    </w:p>
    <w:p w14:paraId="3575B1E6" w14:textId="50EC4192" w:rsidR="00DE77CE" w:rsidRDefault="00943343" w:rsidP="00E83E28">
      <w:pPr>
        <w:spacing w:after="0"/>
        <w:ind w:left="270"/>
        <w:rPr>
          <w:sz w:val="20"/>
          <w:szCs w:val="20"/>
        </w:rPr>
      </w:pPr>
      <w:r>
        <w:rPr>
          <w:sz w:val="20"/>
          <w:szCs w:val="20"/>
        </w:rPr>
        <w:t>L</w:t>
      </w:r>
      <w:r>
        <w:rPr>
          <w:sz w:val="20"/>
          <w:szCs w:val="20"/>
        </w:rPr>
        <w:t>anguage consistency throughout the specification is not only beneficial, but imperative.</w:t>
      </w:r>
      <w:r>
        <w:rPr>
          <w:sz w:val="20"/>
          <w:szCs w:val="20"/>
        </w:rPr>
        <w:t xml:space="preserve"> </w:t>
      </w:r>
      <w:r w:rsidR="005D52E8">
        <w:rPr>
          <w:sz w:val="20"/>
          <w:szCs w:val="20"/>
        </w:rPr>
        <w:t>Clarify the requirement on line 506</w:t>
      </w:r>
      <w:r>
        <w:rPr>
          <w:sz w:val="20"/>
          <w:szCs w:val="20"/>
        </w:rPr>
        <w:t xml:space="preserve">, making it clear whether “machine readable” </w:t>
      </w:r>
      <w:r w:rsidR="0050551F">
        <w:rPr>
          <w:sz w:val="20"/>
          <w:szCs w:val="20"/>
        </w:rPr>
        <w:t xml:space="preserve">(no hyphen) </w:t>
      </w:r>
      <w:r>
        <w:rPr>
          <w:sz w:val="20"/>
          <w:szCs w:val="20"/>
        </w:rPr>
        <w:t>is the same as “machine-readable”</w:t>
      </w:r>
      <w:r w:rsidR="00992B73">
        <w:rPr>
          <w:sz w:val="20"/>
          <w:szCs w:val="20"/>
        </w:rPr>
        <w:t xml:space="preserve"> </w:t>
      </w:r>
      <w:r w:rsidR="0050551F">
        <w:rPr>
          <w:sz w:val="20"/>
          <w:szCs w:val="20"/>
        </w:rPr>
        <w:t>(with hyphen)</w:t>
      </w:r>
      <w:r w:rsidR="00491EEF">
        <w:rPr>
          <w:sz w:val="20"/>
          <w:szCs w:val="20"/>
        </w:rPr>
        <w:t>, or by adding the hyphen</w:t>
      </w:r>
      <w:r w:rsidR="008A4DEF">
        <w:rPr>
          <w:sz w:val="20"/>
          <w:szCs w:val="20"/>
        </w:rPr>
        <w:t>.</w:t>
      </w:r>
      <w:r w:rsidR="00E83E28">
        <w:rPr>
          <w:sz w:val="20"/>
          <w:szCs w:val="20"/>
        </w:rPr>
        <w:t xml:space="preserve"> </w:t>
      </w:r>
    </w:p>
    <w:p w14:paraId="698A86D9" w14:textId="77777777" w:rsidR="00DE77CE" w:rsidRDefault="00DE77CE" w:rsidP="00E83E28">
      <w:pPr>
        <w:spacing w:after="0"/>
        <w:ind w:left="270"/>
        <w:rPr>
          <w:sz w:val="20"/>
          <w:szCs w:val="20"/>
        </w:rPr>
      </w:pPr>
    </w:p>
    <w:p w14:paraId="58B63590" w14:textId="77777777" w:rsidR="00DE77CE" w:rsidRDefault="00E83E28" w:rsidP="00E83E28">
      <w:pPr>
        <w:spacing w:after="0"/>
        <w:ind w:left="270"/>
        <w:rPr>
          <w:sz w:val="20"/>
          <w:szCs w:val="20"/>
        </w:rPr>
      </w:pPr>
      <w:r>
        <w:rPr>
          <w:sz w:val="20"/>
          <w:szCs w:val="20"/>
        </w:rPr>
        <w:t xml:space="preserve">If “machine readable” is intended to be understood as different than “machine-readable” then this should be clearly spelled out. </w:t>
      </w:r>
    </w:p>
    <w:p w14:paraId="4A13941A" w14:textId="77777777" w:rsidR="00DE77CE" w:rsidRDefault="00DE77CE" w:rsidP="00E83E28">
      <w:pPr>
        <w:spacing w:after="0"/>
        <w:ind w:left="270"/>
        <w:rPr>
          <w:sz w:val="20"/>
          <w:szCs w:val="20"/>
        </w:rPr>
      </w:pPr>
    </w:p>
    <w:p w14:paraId="468D3087" w14:textId="1B937340" w:rsidR="00E83E28" w:rsidRDefault="00E83E28" w:rsidP="00E83E28">
      <w:pPr>
        <w:spacing w:after="0"/>
        <w:ind w:left="270"/>
        <w:rPr>
          <w:sz w:val="20"/>
          <w:szCs w:val="20"/>
        </w:rPr>
      </w:pPr>
      <w:r>
        <w:rPr>
          <w:sz w:val="20"/>
          <w:szCs w:val="20"/>
        </w:rPr>
        <w:lastRenderedPageBreak/>
        <w:t xml:space="preserve">The phrase “…by some other means” in line 506 </w:t>
      </w:r>
      <w:r>
        <w:rPr>
          <w:sz w:val="20"/>
          <w:szCs w:val="20"/>
        </w:rPr>
        <w:t xml:space="preserve">implies that Court Policy information could be conveyed via </w:t>
      </w:r>
      <w:r>
        <w:rPr>
          <w:sz w:val="20"/>
          <w:szCs w:val="20"/>
        </w:rPr>
        <w:t xml:space="preserve">machine-readable </w:t>
      </w:r>
      <w:r>
        <w:rPr>
          <w:sz w:val="20"/>
          <w:szCs w:val="20"/>
        </w:rPr>
        <w:t xml:space="preserve">word processing documents, text files, spreadsheets, </w:t>
      </w:r>
      <w:r>
        <w:rPr>
          <w:sz w:val="20"/>
          <w:szCs w:val="20"/>
        </w:rPr>
        <w:t xml:space="preserve">data bases </w:t>
      </w:r>
      <w:r>
        <w:rPr>
          <w:sz w:val="20"/>
          <w:szCs w:val="20"/>
        </w:rPr>
        <w:t>and other means implemented within FAMDEs</w:t>
      </w:r>
      <w:r>
        <w:rPr>
          <w:sz w:val="20"/>
          <w:szCs w:val="20"/>
        </w:rPr>
        <w:t xml:space="preserve"> </w:t>
      </w:r>
      <w:r w:rsidR="00DE77CE">
        <w:rPr>
          <w:sz w:val="20"/>
          <w:szCs w:val="20"/>
        </w:rPr>
        <w:t>and thereby not requiring any FRMDE provided machine-readable Court Policy communication</w:t>
      </w:r>
      <w:r w:rsidR="008A4DEF">
        <w:rPr>
          <w:sz w:val="20"/>
          <w:szCs w:val="20"/>
        </w:rPr>
        <w:t xml:space="preserve"> (e.g., employing an ECF 4.1 message)</w:t>
      </w:r>
      <w:r>
        <w:rPr>
          <w:sz w:val="20"/>
          <w:szCs w:val="20"/>
        </w:rPr>
        <w:t>.</w:t>
      </w:r>
    </w:p>
    <w:p w14:paraId="42A0DA49" w14:textId="716D8D2C" w:rsidR="005D52E8" w:rsidRDefault="005D52E8" w:rsidP="00CB4DAE">
      <w:pPr>
        <w:spacing w:after="0"/>
        <w:rPr>
          <w:sz w:val="20"/>
          <w:szCs w:val="20"/>
        </w:rPr>
      </w:pPr>
    </w:p>
    <w:p w14:paraId="12CDB94A" w14:textId="77777777" w:rsidR="00A24D8A" w:rsidRDefault="00A24D8A" w:rsidP="00CB4DAE">
      <w:pPr>
        <w:spacing w:after="0"/>
        <w:rPr>
          <w:sz w:val="20"/>
          <w:szCs w:val="20"/>
        </w:rPr>
      </w:pPr>
    </w:p>
    <w:p w14:paraId="254BB5E3" w14:textId="69E36A84" w:rsidR="00EC23CB" w:rsidRDefault="00EC23CB" w:rsidP="00CB4DAE">
      <w:pPr>
        <w:spacing w:after="0"/>
        <w:rPr>
          <w:sz w:val="20"/>
          <w:szCs w:val="20"/>
        </w:rPr>
      </w:pPr>
      <w:r>
        <w:rPr>
          <w:sz w:val="20"/>
          <w:szCs w:val="20"/>
        </w:rPr>
        <w:t>1</w:t>
      </w:r>
      <w:r w:rsidR="005D52E8">
        <w:rPr>
          <w:sz w:val="20"/>
          <w:szCs w:val="20"/>
        </w:rPr>
        <w:t>2</w:t>
      </w:r>
      <w:r>
        <w:rPr>
          <w:sz w:val="20"/>
          <w:szCs w:val="20"/>
        </w:rPr>
        <w:t xml:space="preserve">. </w:t>
      </w:r>
      <w:r w:rsidR="008C138B">
        <w:rPr>
          <w:sz w:val="20"/>
          <w:szCs w:val="20"/>
        </w:rPr>
        <w:t>Asynchronous response optionality</w:t>
      </w:r>
    </w:p>
    <w:p w14:paraId="57ACD877" w14:textId="1CF93F0D" w:rsidR="008C138B" w:rsidRDefault="008C138B" w:rsidP="00CB4DAE">
      <w:pPr>
        <w:spacing w:after="0"/>
        <w:rPr>
          <w:sz w:val="20"/>
          <w:szCs w:val="20"/>
        </w:rPr>
      </w:pPr>
    </w:p>
    <w:p w14:paraId="20F485D4" w14:textId="6E1402B4" w:rsidR="008C138B" w:rsidRDefault="008C138B" w:rsidP="00834F54">
      <w:pPr>
        <w:spacing w:after="0"/>
        <w:ind w:left="270"/>
        <w:rPr>
          <w:sz w:val="20"/>
          <w:szCs w:val="20"/>
        </w:rPr>
      </w:pPr>
      <w:r>
        <w:rPr>
          <w:sz w:val="20"/>
          <w:szCs w:val="20"/>
        </w:rPr>
        <w:t xml:space="preserve">In the circumstance </w:t>
      </w:r>
      <w:r w:rsidR="00F00341">
        <w:rPr>
          <w:sz w:val="20"/>
          <w:szCs w:val="20"/>
        </w:rPr>
        <w:t xml:space="preserve">in </w:t>
      </w:r>
      <w:r>
        <w:rPr>
          <w:sz w:val="20"/>
          <w:szCs w:val="20"/>
        </w:rPr>
        <w:t>wh</w:t>
      </w:r>
      <w:r w:rsidR="00F00341">
        <w:rPr>
          <w:sz w:val="20"/>
          <w:szCs w:val="20"/>
        </w:rPr>
        <w:t>ich</w:t>
      </w:r>
      <w:r>
        <w:rPr>
          <w:sz w:val="20"/>
          <w:szCs w:val="20"/>
        </w:rPr>
        <w:t xml:space="preserve"> a </w:t>
      </w:r>
      <w:r w:rsidR="00F00341">
        <w:rPr>
          <w:sz w:val="20"/>
          <w:szCs w:val="20"/>
        </w:rPr>
        <w:t>court</w:t>
      </w:r>
      <w:r>
        <w:rPr>
          <w:sz w:val="20"/>
          <w:szCs w:val="20"/>
        </w:rPr>
        <w:t xml:space="preserve"> does not implement CourtPolicy (</w:t>
      </w:r>
      <w:r w:rsidR="005220F5">
        <w:rPr>
          <w:sz w:val="20"/>
          <w:szCs w:val="20"/>
        </w:rPr>
        <w:t xml:space="preserve">e.g., </w:t>
      </w:r>
      <w:r>
        <w:rPr>
          <w:sz w:val="20"/>
          <w:szCs w:val="20"/>
        </w:rPr>
        <w:t>the GetPolicy operation is optionally supported by an FRMDE</w:t>
      </w:r>
      <w:r w:rsidR="00F16F19">
        <w:rPr>
          <w:sz w:val="20"/>
          <w:szCs w:val="20"/>
        </w:rPr>
        <w:t>, nevertheless see #11 above</w:t>
      </w:r>
      <w:r>
        <w:rPr>
          <w:sz w:val="20"/>
          <w:szCs w:val="20"/>
        </w:rPr>
        <w:t xml:space="preserve">) </w:t>
      </w:r>
      <w:r w:rsidR="001675EA">
        <w:rPr>
          <w:sz w:val="20"/>
          <w:szCs w:val="20"/>
        </w:rPr>
        <w:t xml:space="preserve">and as such there will not be any GetPolicyResponse, </w:t>
      </w:r>
      <w:r w:rsidR="005220F5">
        <w:rPr>
          <w:sz w:val="20"/>
          <w:szCs w:val="20"/>
        </w:rPr>
        <w:t xml:space="preserve">then how is the </w:t>
      </w:r>
      <w:r w:rsidR="0029264D">
        <w:rPr>
          <w:sz w:val="20"/>
          <w:szCs w:val="20"/>
        </w:rPr>
        <w:t>requirement for</w:t>
      </w:r>
      <w:r w:rsidR="00566F1D">
        <w:rPr>
          <w:sz w:val="20"/>
          <w:szCs w:val="20"/>
        </w:rPr>
        <w:t>,</w:t>
      </w:r>
      <w:r w:rsidR="0029264D">
        <w:rPr>
          <w:sz w:val="20"/>
          <w:szCs w:val="20"/>
        </w:rPr>
        <w:t xml:space="preserve"> or </w:t>
      </w:r>
      <w:r w:rsidR="005220F5">
        <w:rPr>
          <w:sz w:val="20"/>
          <w:szCs w:val="20"/>
        </w:rPr>
        <w:t>optionality of</w:t>
      </w:r>
      <w:r w:rsidR="00566F1D">
        <w:rPr>
          <w:sz w:val="20"/>
          <w:szCs w:val="20"/>
        </w:rPr>
        <w:t>,</w:t>
      </w:r>
      <w:r w:rsidR="005220F5">
        <w:rPr>
          <w:sz w:val="20"/>
          <w:szCs w:val="20"/>
        </w:rPr>
        <w:t xml:space="preserve"> an asynchronous response determined (e.g., how does an operation determine if and when to provide an asynchronous response)?</w:t>
      </w:r>
    </w:p>
    <w:p w14:paraId="060ADA03" w14:textId="695A4DB3" w:rsidR="005220F5" w:rsidRDefault="005220F5" w:rsidP="00834F54">
      <w:pPr>
        <w:spacing w:after="0"/>
        <w:ind w:left="270"/>
        <w:rPr>
          <w:sz w:val="20"/>
          <w:szCs w:val="20"/>
        </w:rPr>
      </w:pPr>
    </w:p>
    <w:p w14:paraId="4863B71A" w14:textId="22B288B6" w:rsidR="005220F5" w:rsidRDefault="005220F5" w:rsidP="00834F54">
      <w:pPr>
        <w:spacing w:after="0"/>
        <w:ind w:left="270"/>
        <w:rPr>
          <w:sz w:val="20"/>
          <w:szCs w:val="20"/>
        </w:rPr>
      </w:pPr>
      <w:r>
        <w:rPr>
          <w:sz w:val="20"/>
          <w:szCs w:val="20"/>
        </w:rPr>
        <w:t xml:space="preserve">First off, since &lt;ecf:SendingLocationID&gt; and &lt;ecf:SendingMDEProfileCode&gt; elements are now optional in all messages where these elements are allowed (e.g., </w:t>
      </w:r>
      <w:r w:rsidR="00566F1D">
        <w:rPr>
          <w:sz w:val="20"/>
          <w:szCs w:val="20"/>
        </w:rPr>
        <w:t xml:space="preserve">available in </w:t>
      </w:r>
      <w:r>
        <w:rPr>
          <w:sz w:val="20"/>
          <w:szCs w:val="20"/>
        </w:rPr>
        <w:t>all except PaymentMessage and PaymentReceiptMessage)</w:t>
      </w:r>
      <w:r w:rsidR="009E6929">
        <w:rPr>
          <w:sz w:val="20"/>
          <w:szCs w:val="20"/>
        </w:rPr>
        <w:t>, then when these elements are not provided, the operation cannot provide any asynchronous response.</w:t>
      </w:r>
    </w:p>
    <w:p w14:paraId="028B571E" w14:textId="3699C894" w:rsidR="009E6929" w:rsidRDefault="009E6929" w:rsidP="00834F54">
      <w:pPr>
        <w:spacing w:after="0"/>
        <w:ind w:left="270"/>
        <w:rPr>
          <w:sz w:val="20"/>
          <w:szCs w:val="20"/>
        </w:rPr>
      </w:pPr>
    </w:p>
    <w:p w14:paraId="44B0B5D3" w14:textId="43E7B8B6" w:rsidR="009E6929" w:rsidRDefault="00533972" w:rsidP="00834F54">
      <w:pPr>
        <w:spacing w:after="0"/>
        <w:ind w:left="270"/>
        <w:rPr>
          <w:sz w:val="20"/>
          <w:szCs w:val="20"/>
        </w:rPr>
      </w:pPr>
      <w:r>
        <w:rPr>
          <w:sz w:val="20"/>
          <w:szCs w:val="20"/>
        </w:rPr>
        <w:t xml:space="preserve">So, </w:t>
      </w:r>
      <w:r w:rsidR="001A0650">
        <w:rPr>
          <w:sz w:val="20"/>
          <w:szCs w:val="20"/>
        </w:rPr>
        <w:t xml:space="preserve">in the absence of court policy, </w:t>
      </w:r>
      <w:r>
        <w:rPr>
          <w:sz w:val="20"/>
          <w:szCs w:val="20"/>
        </w:rPr>
        <w:t xml:space="preserve">when these elements are provided, then is the </w:t>
      </w:r>
      <w:r w:rsidR="0048311C">
        <w:rPr>
          <w:sz w:val="20"/>
          <w:szCs w:val="20"/>
        </w:rPr>
        <w:t xml:space="preserve">receiving </w:t>
      </w:r>
      <w:r>
        <w:rPr>
          <w:sz w:val="20"/>
          <w:szCs w:val="20"/>
        </w:rPr>
        <w:t>operation expected to provide an asynchronous response?</w:t>
      </w:r>
    </w:p>
    <w:p w14:paraId="02EF33EA" w14:textId="2DA7439E" w:rsidR="00533972" w:rsidRDefault="00533972" w:rsidP="00834F54">
      <w:pPr>
        <w:spacing w:after="0"/>
        <w:ind w:left="270"/>
        <w:rPr>
          <w:sz w:val="20"/>
          <w:szCs w:val="20"/>
        </w:rPr>
      </w:pPr>
    </w:p>
    <w:p w14:paraId="04D9D34E" w14:textId="094B98EE" w:rsidR="00533972" w:rsidRDefault="00533972" w:rsidP="00834F54">
      <w:pPr>
        <w:spacing w:after="0"/>
        <w:ind w:left="270"/>
        <w:rPr>
          <w:sz w:val="20"/>
          <w:szCs w:val="20"/>
        </w:rPr>
      </w:pPr>
      <w:r>
        <w:rPr>
          <w:sz w:val="20"/>
          <w:szCs w:val="20"/>
        </w:rPr>
        <w:t xml:space="preserve">Since the ECF v4.1 specification is silent on this, it appears that it is </w:t>
      </w:r>
      <w:r w:rsidR="00723051">
        <w:rPr>
          <w:sz w:val="20"/>
          <w:szCs w:val="20"/>
        </w:rPr>
        <w:t xml:space="preserve">left </w:t>
      </w:r>
      <w:r>
        <w:rPr>
          <w:sz w:val="20"/>
          <w:szCs w:val="20"/>
        </w:rPr>
        <w:t>up to the operation.</w:t>
      </w:r>
      <w:r w:rsidR="002B0004">
        <w:rPr>
          <w:sz w:val="20"/>
          <w:szCs w:val="20"/>
        </w:rPr>
        <w:t xml:space="preserve"> Is this what the TC intended?</w:t>
      </w:r>
    </w:p>
    <w:p w14:paraId="6B2AA861" w14:textId="5E8A77F7" w:rsidR="00723051" w:rsidRDefault="00723051" w:rsidP="00834F54">
      <w:pPr>
        <w:spacing w:after="0"/>
        <w:ind w:left="270"/>
        <w:rPr>
          <w:sz w:val="20"/>
          <w:szCs w:val="20"/>
        </w:rPr>
      </w:pPr>
    </w:p>
    <w:p w14:paraId="012919C6" w14:textId="1A3303F3" w:rsidR="00723051" w:rsidRDefault="003C1E13" w:rsidP="00834F54">
      <w:pPr>
        <w:spacing w:after="0"/>
        <w:ind w:left="270"/>
        <w:rPr>
          <w:sz w:val="20"/>
          <w:szCs w:val="20"/>
        </w:rPr>
      </w:pPr>
      <w:r>
        <w:rPr>
          <w:sz w:val="20"/>
          <w:szCs w:val="20"/>
        </w:rPr>
        <w:t>If so, then w</w:t>
      </w:r>
      <w:r w:rsidR="007670CE">
        <w:rPr>
          <w:sz w:val="20"/>
          <w:szCs w:val="20"/>
        </w:rPr>
        <w:t xml:space="preserve">hen machine-readable court policy has not been implemented </w:t>
      </w:r>
      <w:r w:rsidR="0048311C">
        <w:rPr>
          <w:sz w:val="20"/>
          <w:szCs w:val="20"/>
        </w:rPr>
        <w:t xml:space="preserve">and a sending MDE provides &lt;ecf:SendingLocationID&gt; and &lt;ecf:SendingMDEProfileCode&gt; </w:t>
      </w:r>
      <w:r w:rsidR="00F02F2F">
        <w:rPr>
          <w:sz w:val="20"/>
          <w:szCs w:val="20"/>
        </w:rPr>
        <w:t>then the receiving operation may or may not provide an asynchronous response.</w:t>
      </w:r>
    </w:p>
    <w:p w14:paraId="0D499179" w14:textId="5A5E8A13" w:rsidR="008D31EB" w:rsidRDefault="008D31EB" w:rsidP="00834F54">
      <w:pPr>
        <w:spacing w:after="0"/>
        <w:ind w:left="270"/>
        <w:rPr>
          <w:sz w:val="20"/>
          <w:szCs w:val="20"/>
        </w:rPr>
      </w:pPr>
    </w:p>
    <w:p w14:paraId="35B61D8B" w14:textId="4C5E1658" w:rsidR="008D31EB" w:rsidRDefault="008D31EB" w:rsidP="00834F54">
      <w:pPr>
        <w:spacing w:after="0"/>
        <w:ind w:left="270"/>
        <w:rPr>
          <w:sz w:val="20"/>
          <w:szCs w:val="20"/>
        </w:rPr>
      </w:pPr>
      <w:r>
        <w:rPr>
          <w:sz w:val="20"/>
          <w:szCs w:val="20"/>
        </w:rPr>
        <w:t xml:space="preserve">There are only two asynchronous responses, i.e., RecordDocketingCallbackMessage and ReviewFilingCallbackMessage. </w:t>
      </w:r>
    </w:p>
    <w:p w14:paraId="508C02A3" w14:textId="1474718C" w:rsidR="005D52E8" w:rsidRDefault="005D52E8" w:rsidP="00834F54">
      <w:pPr>
        <w:spacing w:after="0"/>
        <w:ind w:left="270"/>
        <w:rPr>
          <w:sz w:val="20"/>
          <w:szCs w:val="20"/>
        </w:rPr>
      </w:pPr>
    </w:p>
    <w:p w14:paraId="5234C4A0" w14:textId="77777777" w:rsidR="005D52E8" w:rsidRDefault="005D52E8" w:rsidP="00834F54">
      <w:pPr>
        <w:spacing w:after="0"/>
        <w:ind w:left="270"/>
        <w:rPr>
          <w:sz w:val="20"/>
          <w:szCs w:val="20"/>
        </w:rPr>
      </w:pPr>
    </w:p>
    <w:p w14:paraId="4C955ECB" w14:textId="77777777" w:rsidR="00D9714D" w:rsidRDefault="005D52E8" w:rsidP="00834F54">
      <w:pPr>
        <w:spacing w:after="0"/>
        <w:ind w:left="270"/>
        <w:rPr>
          <w:sz w:val="20"/>
          <w:szCs w:val="20"/>
        </w:rPr>
      </w:pPr>
      <w:r>
        <w:rPr>
          <w:sz w:val="20"/>
          <w:szCs w:val="20"/>
        </w:rPr>
        <w:t xml:space="preserve">Recommendation: </w:t>
      </w:r>
    </w:p>
    <w:p w14:paraId="6F225288" w14:textId="77777777" w:rsidR="00D9714D" w:rsidRDefault="00D9714D" w:rsidP="00834F54">
      <w:pPr>
        <w:spacing w:after="0"/>
        <w:ind w:left="270"/>
        <w:rPr>
          <w:sz w:val="20"/>
          <w:szCs w:val="20"/>
        </w:rPr>
      </w:pPr>
    </w:p>
    <w:p w14:paraId="1B00F6F3" w14:textId="3BAAD135" w:rsidR="005D52E8" w:rsidRDefault="00D9714D" w:rsidP="00834F54">
      <w:pPr>
        <w:spacing w:after="0"/>
        <w:ind w:left="270"/>
        <w:rPr>
          <w:sz w:val="20"/>
          <w:szCs w:val="20"/>
        </w:rPr>
      </w:pPr>
      <w:r>
        <w:rPr>
          <w:sz w:val="20"/>
          <w:szCs w:val="20"/>
        </w:rPr>
        <w:t xml:space="preserve">a. </w:t>
      </w:r>
      <w:r w:rsidR="00677B0B">
        <w:rPr>
          <w:sz w:val="20"/>
          <w:szCs w:val="20"/>
        </w:rPr>
        <w:t xml:space="preserve">Make clear how MDEs are expected or required to act when ECF Court Policy is not implemented, and ReviewFiling requests and RecordFiling requests have been provided that include </w:t>
      </w:r>
      <w:r w:rsidR="00677B0B">
        <w:rPr>
          <w:sz w:val="20"/>
          <w:szCs w:val="20"/>
        </w:rPr>
        <w:t>&lt;ecf:SendingLocationID&gt; and &lt;ecf:SendingMDEProfileCode&gt;</w:t>
      </w:r>
      <w:r w:rsidR="00677B0B">
        <w:rPr>
          <w:sz w:val="20"/>
          <w:szCs w:val="20"/>
        </w:rPr>
        <w:t>. Are the receiving MDEs required to provide the asynchronous response or are they free to not provide the asynchronous response.</w:t>
      </w:r>
    </w:p>
    <w:p w14:paraId="2328A118" w14:textId="68B8CA17" w:rsidR="00D9714D" w:rsidRDefault="00D9714D" w:rsidP="00834F54">
      <w:pPr>
        <w:spacing w:after="0"/>
        <w:ind w:left="270"/>
        <w:rPr>
          <w:sz w:val="20"/>
          <w:szCs w:val="20"/>
        </w:rPr>
      </w:pPr>
    </w:p>
    <w:p w14:paraId="142DD349" w14:textId="27B79D5D" w:rsidR="00D9714D" w:rsidRDefault="00D9714D" w:rsidP="00834F54">
      <w:pPr>
        <w:spacing w:after="0"/>
        <w:ind w:left="270"/>
        <w:rPr>
          <w:sz w:val="20"/>
          <w:szCs w:val="20"/>
        </w:rPr>
      </w:pPr>
      <w:r>
        <w:rPr>
          <w:sz w:val="20"/>
          <w:szCs w:val="20"/>
        </w:rPr>
        <w:t xml:space="preserve">b. When ECF Court Policy is not used, then require the Human-Readable Court Policy </w:t>
      </w:r>
      <w:r w:rsidR="00702CB5">
        <w:rPr>
          <w:sz w:val="20"/>
          <w:szCs w:val="20"/>
        </w:rPr>
        <w:t>specify</w:t>
      </w:r>
      <w:r>
        <w:rPr>
          <w:sz w:val="20"/>
          <w:szCs w:val="20"/>
        </w:rPr>
        <w:t xml:space="preserve"> whether asynchronous response messages must or will be provided </w:t>
      </w:r>
      <w:r w:rsidR="00702CB5">
        <w:rPr>
          <w:sz w:val="20"/>
          <w:szCs w:val="20"/>
        </w:rPr>
        <w:t>and any circumstances regarding this expectation.</w:t>
      </w:r>
    </w:p>
    <w:p w14:paraId="01B9A90E" w14:textId="4A97268C" w:rsidR="00326CC7" w:rsidRDefault="00326CC7" w:rsidP="00CB4DAE">
      <w:pPr>
        <w:spacing w:after="0"/>
        <w:rPr>
          <w:sz w:val="20"/>
          <w:szCs w:val="20"/>
        </w:rPr>
      </w:pPr>
    </w:p>
    <w:p w14:paraId="23AEA600" w14:textId="77777777" w:rsidR="00326CC7" w:rsidRDefault="00326CC7" w:rsidP="00CB4DAE">
      <w:pPr>
        <w:spacing w:after="0"/>
        <w:rPr>
          <w:sz w:val="20"/>
          <w:szCs w:val="20"/>
        </w:rPr>
      </w:pPr>
    </w:p>
    <w:p w14:paraId="2817A114" w14:textId="707EE917" w:rsidR="008C138B" w:rsidRDefault="008C138B" w:rsidP="00CB4DAE">
      <w:pPr>
        <w:spacing w:after="0"/>
        <w:rPr>
          <w:sz w:val="20"/>
          <w:szCs w:val="20"/>
        </w:rPr>
      </w:pPr>
      <w:r>
        <w:rPr>
          <w:sz w:val="20"/>
          <w:szCs w:val="20"/>
        </w:rPr>
        <w:t>1</w:t>
      </w:r>
      <w:r w:rsidR="005D52E8">
        <w:rPr>
          <w:sz w:val="20"/>
          <w:szCs w:val="20"/>
        </w:rPr>
        <w:t>3</w:t>
      </w:r>
      <w:r>
        <w:rPr>
          <w:sz w:val="20"/>
          <w:szCs w:val="20"/>
        </w:rPr>
        <w:t>.</w:t>
      </w:r>
      <w:r w:rsidR="00565F72">
        <w:rPr>
          <w:sz w:val="20"/>
          <w:szCs w:val="20"/>
        </w:rPr>
        <w:t xml:space="preserve"> ECF </w:t>
      </w:r>
      <w:r w:rsidR="003672E9">
        <w:rPr>
          <w:sz w:val="20"/>
          <w:szCs w:val="20"/>
        </w:rPr>
        <w:t xml:space="preserve">4.1 </w:t>
      </w:r>
      <w:r w:rsidR="00565F72">
        <w:rPr>
          <w:sz w:val="20"/>
          <w:szCs w:val="20"/>
        </w:rPr>
        <w:t>Compliant Required Messages</w:t>
      </w:r>
      <w:r w:rsidR="00D97C6A">
        <w:rPr>
          <w:sz w:val="20"/>
          <w:szCs w:val="20"/>
        </w:rPr>
        <w:t xml:space="preserve"> and Operations</w:t>
      </w:r>
    </w:p>
    <w:p w14:paraId="78DF89B1" w14:textId="32B2535F" w:rsidR="00565F72" w:rsidRDefault="00565F72" w:rsidP="00CB4DAE">
      <w:pPr>
        <w:spacing w:after="0"/>
        <w:rPr>
          <w:sz w:val="20"/>
          <w:szCs w:val="20"/>
        </w:rPr>
      </w:pPr>
    </w:p>
    <w:p w14:paraId="7E3537F4" w14:textId="71428711" w:rsidR="00565F72" w:rsidRDefault="00565F72" w:rsidP="007A1221">
      <w:pPr>
        <w:spacing w:after="0"/>
        <w:ind w:left="270"/>
        <w:rPr>
          <w:sz w:val="20"/>
          <w:szCs w:val="20"/>
        </w:rPr>
      </w:pPr>
      <w:r>
        <w:rPr>
          <w:sz w:val="20"/>
          <w:szCs w:val="20"/>
        </w:rPr>
        <w:t>Section 2.2 Major Design Elements states</w:t>
      </w:r>
      <w:r w:rsidR="0005106B">
        <w:rPr>
          <w:sz w:val="20"/>
          <w:szCs w:val="20"/>
        </w:rPr>
        <w:t xml:space="preserve"> (line 355)</w:t>
      </w:r>
      <w:r>
        <w:rPr>
          <w:sz w:val="20"/>
          <w:szCs w:val="20"/>
        </w:rPr>
        <w:t>: “</w:t>
      </w:r>
      <w:r w:rsidRPr="00565F72">
        <w:rPr>
          <w:color w:val="0070C0"/>
          <w:sz w:val="20"/>
          <w:szCs w:val="20"/>
        </w:rPr>
        <w:t>In order to be compliant with ECF 4.1, an MDE must support all messages required for that MDE.  However, in an ECF 4.1 system that does not support electronic service, the operations associated with the Legal Service MDE are not required.</w:t>
      </w:r>
      <w:r>
        <w:rPr>
          <w:sz w:val="20"/>
          <w:szCs w:val="20"/>
        </w:rPr>
        <w:t>”</w:t>
      </w:r>
    </w:p>
    <w:p w14:paraId="762EAD54" w14:textId="77777777" w:rsidR="00565F72" w:rsidRDefault="00565F72" w:rsidP="007A1221">
      <w:pPr>
        <w:spacing w:after="0"/>
        <w:ind w:left="270"/>
        <w:rPr>
          <w:sz w:val="20"/>
          <w:szCs w:val="20"/>
        </w:rPr>
      </w:pPr>
    </w:p>
    <w:p w14:paraId="2BE53267" w14:textId="77777777" w:rsidR="008A2DBC" w:rsidRDefault="00565F72" w:rsidP="007A1221">
      <w:pPr>
        <w:spacing w:after="0"/>
        <w:ind w:left="270"/>
        <w:rPr>
          <w:sz w:val="20"/>
          <w:szCs w:val="20"/>
        </w:rPr>
      </w:pPr>
      <w:r>
        <w:rPr>
          <w:sz w:val="20"/>
          <w:szCs w:val="20"/>
        </w:rPr>
        <w:lastRenderedPageBreak/>
        <w:t>The key here appears to be the word “required” as in “required for that MDE</w:t>
      </w:r>
      <w:r w:rsidR="00237C84">
        <w:rPr>
          <w:sz w:val="20"/>
          <w:szCs w:val="20"/>
        </w:rPr>
        <w:t>”</w:t>
      </w:r>
      <w:r>
        <w:rPr>
          <w:sz w:val="20"/>
          <w:szCs w:val="20"/>
        </w:rPr>
        <w:t xml:space="preserve">. </w:t>
      </w:r>
    </w:p>
    <w:p w14:paraId="20DB0A9E" w14:textId="0E331982" w:rsidR="008A2DBC" w:rsidRDefault="008A2DBC" w:rsidP="007A1221">
      <w:pPr>
        <w:spacing w:after="0"/>
        <w:ind w:left="270"/>
        <w:rPr>
          <w:sz w:val="20"/>
          <w:szCs w:val="20"/>
        </w:rPr>
      </w:pPr>
    </w:p>
    <w:p w14:paraId="51507905" w14:textId="7B254673" w:rsidR="00962D5D" w:rsidRDefault="008A2DBC" w:rsidP="008A2DBC">
      <w:pPr>
        <w:spacing w:after="0"/>
        <w:ind w:left="270"/>
        <w:rPr>
          <w:sz w:val="20"/>
          <w:szCs w:val="20"/>
        </w:rPr>
      </w:pPr>
      <w:r>
        <w:rPr>
          <w:sz w:val="20"/>
          <w:szCs w:val="20"/>
        </w:rPr>
        <w:t>Perhaps it is noteworthy that the ECF v4.1 specification never states which messages are required</w:t>
      </w:r>
      <w:r w:rsidR="00962D5D">
        <w:rPr>
          <w:sz w:val="20"/>
          <w:szCs w:val="20"/>
        </w:rPr>
        <w:t xml:space="preserve"> for any MDE</w:t>
      </w:r>
      <w:r>
        <w:rPr>
          <w:sz w:val="20"/>
          <w:szCs w:val="20"/>
        </w:rPr>
        <w:t xml:space="preserve"> (it does identify required operations in section 3.1). </w:t>
      </w:r>
      <w:r w:rsidR="00962D5D">
        <w:rPr>
          <w:sz w:val="20"/>
          <w:szCs w:val="20"/>
        </w:rPr>
        <w:t xml:space="preserve">Appendix C identifies ECF messages which are request and response parameters for operation calls. However, Appendix C is not normative. </w:t>
      </w:r>
      <w:r w:rsidR="00204CE3">
        <w:rPr>
          <w:sz w:val="20"/>
          <w:szCs w:val="20"/>
        </w:rPr>
        <w:t>Perhaps instead of saying “an MDE must support all messages required for that MDE</w:t>
      </w:r>
      <w:r w:rsidR="002C5D4C">
        <w:rPr>
          <w:sz w:val="20"/>
          <w:szCs w:val="20"/>
        </w:rPr>
        <w:t>”</w:t>
      </w:r>
      <w:r w:rsidR="00204CE3">
        <w:rPr>
          <w:sz w:val="20"/>
          <w:szCs w:val="20"/>
        </w:rPr>
        <w:t xml:space="preserve"> it should say “an MDE must support all required operations for that MDE”.</w:t>
      </w:r>
    </w:p>
    <w:p w14:paraId="7D226B42" w14:textId="77777777" w:rsidR="00962D5D" w:rsidRDefault="00962D5D" w:rsidP="008A2DBC">
      <w:pPr>
        <w:spacing w:after="0"/>
        <w:ind w:left="270"/>
        <w:rPr>
          <w:sz w:val="20"/>
          <w:szCs w:val="20"/>
        </w:rPr>
      </w:pPr>
    </w:p>
    <w:p w14:paraId="413219BB" w14:textId="173F9421" w:rsidR="008A2DBC" w:rsidRDefault="008A2DBC" w:rsidP="008A2DBC">
      <w:pPr>
        <w:spacing w:after="0"/>
        <w:ind w:left="270"/>
        <w:rPr>
          <w:sz w:val="20"/>
          <w:szCs w:val="20"/>
        </w:rPr>
      </w:pPr>
      <w:r>
        <w:rPr>
          <w:sz w:val="20"/>
          <w:szCs w:val="20"/>
        </w:rPr>
        <w:t xml:space="preserve">Required ‘messages’ may be able to be deduced from required operations (note that </w:t>
      </w:r>
      <w:r>
        <w:rPr>
          <w:sz w:val="20"/>
          <w:szCs w:val="20"/>
        </w:rPr>
        <w:t xml:space="preserve">currently </w:t>
      </w:r>
      <w:r>
        <w:rPr>
          <w:sz w:val="20"/>
          <w:szCs w:val="20"/>
        </w:rPr>
        <w:t xml:space="preserve">there is ambiguity </w:t>
      </w:r>
      <w:r>
        <w:rPr>
          <w:sz w:val="20"/>
          <w:szCs w:val="20"/>
        </w:rPr>
        <w:t xml:space="preserve">in the specification </w:t>
      </w:r>
      <w:r>
        <w:rPr>
          <w:sz w:val="20"/>
          <w:szCs w:val="20"/>
        </w:rPr>
        <w:t>regarding RecordDocketingCallbackMessage</w:t>
      </w:r>
      <w:r>
        <w:rPr>
          <w:sz w:val="20"/>
          <w:szCs w:val="20"/>
        </w:rPr>
        <w:t>; see #10 above</w:t>
      </w:r>
      <w:r>
        <w:rPr>
          <w:sz w:val="20"/>
          <w:szCs w:val="20"/>
        </w:rPr>
        <w:t xml:space="preserve">). </w:t>
      </w:r>
    </w:p>
    <w:p w14:paraId="596635FD" w14:textId="77777777" w:rsidR="008A2DBC" w:rsidRDefault="008A2DBC" w:rsidP="007A1221">
      <w:pPr>
        <w:spacing w:after="0"/>
        <w:ind w:left="270"/>
        <w:rPr>
          <w:sz w:val="20"/>
          <w:szCs w:val="20"/>
        </w:rPr>
      </w:pPr>
    </w:p>
    <w:p w14:paraId="7829C9B4" w14:textId="29C24A8A" w:rsidR="00565F72" w:rsidRDefault="008A2DBC" w:rsidP="007A1221">
      <w:pPr>
        <w:spacing w:after="0"/>
        <w:ind w:left="270"/>
        <w:rPr>
          <w:sz w:val="20"/>
          <w:szCs w:val="20"/>
        </w:rPr>
      </w:pPr>
      <w:r>
        <w:rPr>
          <w:sz w:val="20"/>
          <w:szCs w:val="20"/>
        </w:rPr>
        <w:t>By deduction, t</w:t>
      </w:r>
      <w:r w:rsidR="00565F72">
        <w:rPr>
          <w:sz w:val="20"/>
          <w:szCs w:val="20"/>
        </w:rPr>
        <w:t xml:space="preserve">here are only </w:t>
      </w:r>
      <w:r w:rsidR="00994428">
        <w:rPr>
          <w:sz w:val="20"/>
          <w:szCs w:val="20"/>
        </w:rPr>
        <w:t xml:space="preserve">2 (or perhaps </w:t>
      </w:r>
      <w:r w:rsidR="00565F72">
        <w:rPr>
          <w:sz w:val="20"/>
          <w:szCs w:val="20"/>
        </w:rPr>
        <w:t>3</w:t>
      </w:r>
      <w:r w:rsidR="00994428">
        <w:rPr>
          <w:sz w:val="20"/>
          <w:szCs w:val="20"/>
        </w:rPr>
        <w:t>)</w:t>
      </w:r>
      <w:r w:rsidR="00565F72">
        <w:rPr>
          <w:sz w:val="20"/>
          <w:szCs w:val="20"/>
        </w:rPr>
        <w:t xml:space="preserve"> required message</w:t>
      </w:r>
      <w:r w:rsidR="00237C84">
        <w:rPr>
          <w:sz w:val="20"/>
          <w:szCs w:val="20"/>
        </w:rPr>
        <w:t xml:space="preserve"> exchanges</w:t>
      </w:r>
      <w:r w:rsidR="00565F72">
        <w:rPr>
          <w:sz w:val="20"/>
          <w:szCs w:val="20"/>
        </w:rPr>
        <w:t xml:space="preserve"> in ECF 4.1, i.e., ReviewFilingRequest (CoreFilingMessage/PaymentMessage), RecordFilingRequest (RecordDocketingMessage/CoreFilingMessage), and</w:t>
      </w:r>
      <w:r>
        <w:rPr>
          <w:sz w:val="20"/>
          <w:szCs w:val="20"/>
        </w:rPr>
        <w:t>, depending on the resolution of #10 above,</w:t>
      </w:r>
      <w:r w:rsidR="00565F72">
        <w:rPr>
          <w:sz w:val="20"/>
          <w:szCs w:val="20"/>
        </w:rPr>
        <w:t xml:space="preserve"> NotifyDocketingComplete (RecordDocketingCallbackMessage).</w:t>
      </w:r>
    </w:p>
    <w:p w14:paraId="7F2BEE1F" w14:textId="560A672F" w:rsidR="003B218F" w:rsidRDefault="003B218F" w:rsidP="007A1221">
      <w:pPr>
        <w:spacing w:after="0"/>
        <w:ind w:left="270"/>
        <w:rPr>
          <w:sz w:val="20"/>
          <w:szCs w:val="20"/>
        </w:rPr>
      </w:pPr>
    </w:p>
    <w:p w14:paraId="6825518F" w14:textId="5FC675BD" w:rsidR="008F187B" w:rsidRDefault="008F187B" w:rsidP="007A1221">
      <w:pPr>
        <w:spacing w:after="0"/>
        <w:ind w:left="270"/>
        <w:rPr>
          <w:sz w:val="20"/>
          <w:szCs w:val="20"/>
        </w:rPr>
      </w:pPr>
      <w:r>
        <w:rPr>
          <w:sz w:val="20"/>
          <w:szCs w:val="20"/>
        </w:rPr>
        <w:t>Note the prior issue</w:t>
      </w:r>
      <w:r w:rsidR="008A2DBC">
        <w:rPr>
          <w:sz w:val="20"/>
          <w:szCs w:val="20"/>
        </w:rPr>
        <w:t xml:space="preserve"> #10</w:t>
      </w:r>
      <w:r>
        <w:rPr>
          <w:sz w:val="20"/>
          <w:szCs w:val="20"/>
        </w:rPr>
        <w:t xml:space="preserve"> – NotifyDocketingComplete is likely no</w:t>
      </w:r>
      <w:r w:rsidR="008A2DBC">
        <w:rPr>
          <w:sz w:val="20"/>
          <w:szCs w:val="20"/>
        </w:rPr>
        <w:t>t a</w:t>
      </w:r>
      <w:r>
        <w:rPr>
          <w:sz w:val="20"/>
          <w:szCs w:val="20"/>
        </w:rPr>
        <w:t xml:space="preserve"> required operation.</w:t>
      </w:r>
    </w:p>
    <w:p w14:paraId="5FC05BE5" w14:textId="77777777" w:rsidR="008F187B" w:rsidRDefault="008F187B" w:rsidP="007A1221">
      <w:pPr>
        <w:spacing w:after="0"/>
        <w:ind w:left="270"/>
        <w:rPr>
          <w:sz w:val="20"/>
          <w:szCs w:val="20"/>
        </w:rPr>
      </w:pPr>
    </w:p>
    <w:p w14:paraId="5FEC2749" w14:textId="77777777" w:rsidR="00897080" w:rsidRDefault="00897080" w:rsidP="007A1221">
      <w:pPr>
        <w:spacing w:after="0"/>
        <w:ind w:left="270"/>
        <w:rPr>
          <w:sz w:val="20"/>
          <w:szCs w:val="20"/>
        </w:rPr>
      </w:pPr>
    </w:p>
    <w:p w14:paraId="19495E8E" w14:textId="77777777" w:rsidR="009B17CC" w:rsidRDefault="00DA2F2C" w:rsidP="007A1221">
      <w:pPr>
        <w:spacing w:after="0"/>
        <w:ind w:left="270"/>
        <w:rPr>
          <w:sz w:val="20"/>
          <w:szCs w:val="20"/>
        </w:rPr>
      </w:pPr>
      <w:r>
        <w:rPr>
          <w:sz w:val="20"/>
          <w:szCs w:val="20"/>
        </w:rPr>
        <w:t>Recommendation:</w:t>
      </w:r>
      <w:r w:rsidR="000D4E0F">
        <w:rPr>
          <w:sz w:val="20"/>
          <w:szCs w:val="20"/>
        </w:rPr>
        <w:t xml:space="preserve"> </w:t>
      </w:r>
    </w:p>
    <w:p w14:paraId="2A4DE19B" w14:textId="77777777" w:rsidR="009B17CC" w:rsidRDefault="009B17CC" w:rsidP="007A1221">
      <w:pPr>
        <w:spacing w:after="0"/>
        <w:ind w:left="270"/>
        <w:rPr>
          <w:sz w:val="20"/>
          <w:szCs w:val="20"/>
        </w:rPr>
      </w:pPr>
    </w:p>
    <w:p w14:paraId="4960A40E" w14:textId="4AE11A68" w:rsidR="009B17CC" w:rsidRDefault="002C5D4C" w:rsidP="007A1221">
      <w:pPr>
        <w:spacing w:after="0"/>
        <w:ind w:left="270"/>
        <w:rPr>
          <w:sz w:val="20"/>
          <w:szCs w:val="20"/>
        </w:rPr>
      </w:pPr>
      <w:r>
        <w:rPr>
          <w:sz w:val="20"/>
          <w:szCs w:val="20"/>
        </w:rPr>
        <w:t xml:space="preserve">a. </w:t>
      </w:r>
      <w:r w:rsidR="000D4E0F">
        <w:rPr>
          <w:sz w:val="20"/>
          <w:szCs w:val="20"/>
        </w:rPr>
        <w:t>Identify required (normative) messages</w:t>
      </w:r>
      <w:r w:rsidR="00D87AAC">
        <w:rPr>
          <w:sz w:val="20"/>
          <w:szCs w:val="20"/>
        </w:rPr>
        <w:t xml:space="preserve"> within the specification (</w:t>
      </w:r>
      <w:r w:rsidR="000D4E0F">
        <w:rPr>
          <w:sz w:val="20"/>
          <w:szCs w:val="20"/>
        </w:rPr>
        <w:t>possibly in Appendix C</w:t>
      </w:r>
      <w:r w:rsidR="00D87AAC">
        <w:rPr>
          <w:sz w:val="20"/>
          <w:szCs w:val="20"/>
        </w:rPr>
        <w:t>)</w:t>
      </w:r>
      <w:r w:rsidR="000D4E0F">
        <w:rPr>
          <w:sz w:val="20"/>
          <w:szCs w:val="20"/>
        </w:rPr>
        <w:t xml:space="preserve">. </w:t>
      </w:r>
      <w:r>
        <w:rPr>
          <w:sz w:val="20"/>
          <w:szCs w:val="20"/>
        </w:rPr>
        <w:t>It</w:t>
      </w:r>
      <w:r w:rsidR="009B17CC">
        <w:rPr>
          <w:sz w:val="20"/>
          <w:szCs w:val="20"/>
        </w:rPr>
        <w:t xml:space="preserve"> appears t</w:t>
      </w:r>
      <w:r>
        <w:rPr>
          <w:sz w:val="20"/>
          <w:szCs w:val="20"/>
        </w:rPr>
        <w:t xml:space="preserve">hat this is </w:t>
      </w:r>
      <w:r w:rsidR="009B17CC">
        <w:rPr>
          <w:sz w:val="20"/>
          <w:szCs w:val="20"/>
        </w:rPr>
        <w:t>only:</w:t>
      </w:r>
    </w:p>
    <w:p w14:paraId="5B3915A2" w14:textId="77777777" w:rsidR="009B17CC" w:rsidRDefault="009B17CC" w:rsidP="007A1221">
      <w:pPr>
        <w:spacing w:after="0"/>
        <w:ind w:left="270"/>
        <w:rPr>
          <w:sz w:val="20"/>
          <w:szCs w:val="20"/>
        </w:rPr>
      </w:pPr>
    </w:p>
    <w:p w14:paraId="5D5E61C0" w14:textId="77777777" w:rsidR="009B17CC" w:rsidRPr="009B17CC" w:rsidRDefault="009B17CC" w:rsidP="009B17CC">
      <w:pPr>
        <w:pStyle w:val="ListParagraph"/>
        <w:numPr>
          <w:ilvl w:val="0"/>
          <w:numId w:val="2"/>
        </w:numPr>
        <w:spacing w:after="0"/>
        <w:rPr>
          <w:sz w:val="20"/>
          <w:szCs w:val="20"/>
        </w:rPr>
      </w:pPr>
      <w:r w:rsidRPr="009B17CC">
        <w:rPr>
          <w:sz w:val="20"/>
          <w:szCs w:val="20"/>
        </w:rPr>
        <w:t>CoreFilingMessage/PaymentMessage in a ReviewFilingRequest and</w:t>
      </w:r>
    </w:p>
    <w:p w14:paraId="63691E84" w14:textId="1D582B49" w:rsidR="009B17CC" w:rsidRDefault="009B17CC" w:rsidP="009B17CC">
      <w:pPr>
        <w:pStyle w:val="ListParagraph"/>
        <w:numPr>
          <w:ilvl w:val="0"/>
          <w:numId w:val="2"/>
        </w:numPr>
        <w:spacing w:after="0"/>
        <w:rPr>
          <w:sz w:val="20"/>
          <w:szCs w:val="20"/>
        </w:rPr>
      </w:pPr>
      <w:r w:rsidRPr="009B17CC">
        <w:rPr>
          <w:sz w:val="20"/>
          <w:szCs w:val="20"/>
        </w:rPr>
        <w:t xml:space="preserve">RecordDocketingMessage/CoreFilingMessage in RecordFilingRequest. </w:t>
      </w:r>
    </w:p>
    <w:p w14:paraId="5A815BF2" w14:textId="255AB6A9" w:rsidR="002C5D4C" w:rsidRDefault="002C5D4C" w:rsidP="002C5D4C">
      <w:pPr>
        <w:spacing w:after="0"/>
        <w:rPr>
          <w:sz w:val="20"/>
          <w:szCs w:val="20"/>
        </w:rPr>
      </w:pPr>
    </w:p>
    <w:p w14:paraId="4BA79FAF" w14:textId="11450DA4" w:rsidR="009B17CC" w:rsidRDefault="002C5D4C" w:rsidP="007A1221">
      <w:pPr>
        <w:spacing w:after="0"/>
        <w:ind w:left="270"/>
        <w:rPr>
          <w:sz w:val="20"/>
          <w:szCs w:val="20"/>
        </w:rPr>
      </w:pPr>
      <w:r>
        <w:rPr>
          <w:sz w:val="20"/>
          <w:szCs w:val="20"/>
        </w:rPr>
        <w:t xml:space="preserve">b. </w:t>
      </w:r>
      <w:r w:rsidR="009B17CC">
        <w:rPr>
          <w:sz w:val="20"/>
          <w:szCs w:val="20"/>
        </w:rPr>
        <w:t>In the circumstance where an implementation is requiring asynchronous callback messages, then also:</w:t>
      </w:r>
    </w:p>
    <w:p w14:paraId="6C12E61A" w14:textId="77777777" w:rsidR="009B17CC" w:rsidRDefault="009B17CC" w:rsidP="007A1221">
      <w:pPr>
        <w:spacing w:after="0"/>
        <w:ind w:left="270"/>
        <w:rPr>
          <w:sz w:val="20"/>
          <w:szCs w:val="20"/>
        </w:rPr>
      </w:pPr>
    </w:p>
    <w:p w14:paraId="0E810247" w14:textId="77777777" w:rsidR="009B17CC" w:rsidRPr="009B17CC" w:rsidRDefault="009B17CC" w:rsidP="009B17CC">
      <w:pPr>
        <w:pStyle w:val="ListParagraph"/>
        <w:numPr>
          <w:ilvl w:val="0"/>
          <w:numId w:val="3"/>
        </w:numPr>
        <w:spacing w:after="0"/>
        <w:rPr>
          <w:sz w:val="20"/>
          <w:szCs w:val="20"/>
        </w:rPr>
      </w:pPr>
      <w:r w:rsidRPr="009B17CC">
        <w:rPr>
          <w:sz w:val="20"/>
          <w:szCs w:val="20"/>
        </w:rPr>
        <w:t xml:space="preserve">NotifyDocketingComplete and </w:t>
      </w:r>
    </w:p>
    <w:p w14:paraId="78ADDF9D" w14:textId="26B68011" w:rsidR="00DA2F2C" w:rsidRPr="009B17CC" w:rsidRDefault="009B17CC" w:rsidP="009B17CC">
      <w:pPr>
        <w:pStyle w:val="ListParagraph"/>
        <w:numPr>
          <w:ilvl w:val="0"/>
          <w:numId w:val="3"/>
        </w:numPr>
        <w:spacing w:after="0"/>
        <w:rPr>
          <w:sz w:val="20"/>
          <w:szCs w:val="20"/>
        </w:rPr>
      </w:pPr>
      <w:r w:rsidRPr="009B17CC">
        <w:rPr>
          <w:sz w:val="20"/>
          <w:szCs w:val="20"/>
        </w:rPr>
        <w:t>ReviewFilingCallbackMessage</w:t>
      </w:r>
      <w:r w:rsidR="000D4E0F" w:rsidRPr="009B17CC">
        <w:rPr>
          <w:sz w:val="20"/>
          <w:szCs w:val="20"/>
        </w:rPr>
        <w:t xml:space="preserve"> </w:t>
      </w:r>
      <w:r w:rsidRPr="009B17CC">
        <w:rPr>
          <w:sz w:val="20"/>
          <w:szCs w:val="20"/>
        </w:rPr>
        <w:t>(in this circumstance is PaymentReceiptMessage also required? If so, does that make PaymentReceiptMessage a callback message?)</w:t>
      </w:r>
    </w:p>
    <w:p w14:paraId="23712604" w14:textId="65B5EF3B" w:rsidR="00565F72" w:rsidRDefault="00565F72" w:rsidP="00CB4DAE">
      <w:pPr>
        <w:spacing w:after="0"/>
        <w:rPr>
          <w:sz w:val="20"/>
          <w:szCs w:val="20"/>
        </w:rPr>
      </w:pPr>
    </w:p>
    <w:p w14:paraId="2CAC1383" w14:textId="213174EE" w:rsidR="002C5D4C" w:rsidRPr="002C5D4C" w:rsidRDefault="002C5D4C" w:rsidP="002C5D4C">
      <w:pPr>
        <w:spacing w:after="0"/>
        <w:ind w:left="270"/>
        <w:rPr>
          <w:sz w:val="20"/>
          <w:szCs w:val="20"/>
        </w:rPr>
      </w:pPr>
      <w:r>
        <w:rPr>
          <w:sz w:val="20"/>
          <w:szCs w:val="20"/>
        </w:rPr>
        <w:t>c</w:t>
      </w:r>
      <w:r>
        <w:rPr>
          <w:sz w:val="20"/>
          <w:szCs w:val="20"/>
        </w:rPr>
        <w:t>. and/or</w:t>
      </w:r>
      <w:r w:rsidR="007E234F">
        <w:rPr>
          <w:sz w:val="20"/>
          <w:szCs w:val="20"/>
        </w:rPr>
        <w:t>,</w:t>
      </w:r>
      <w:r>
        <w:rPr>
          <w:sz w:val="20"/>
          <w:szCs w:val="20"/>
        </w:rPr>
        <w:t xml:space="preserve"> revise </w:t>
      </w:r>
      <w:r w:rsidR="007E234F">
        <w:rPr>
          <w:sz w:val="20"/>
          <w:szCs w:val="20"/>
        </w:rPr>
        <w:t xml:space="preserve">the </w:t>
      </w:r>
      <w:r>
        <w:rPr>
          <w:sz w:val="20"/>
          <w:szCs w:val="20"/>
        </w:rPr>
        <w:t>statement “an MDE must support all messages required for that MDE” to instead say “an MDE must support all required operations for that MDE”.</w:t>
      </w:r>
    </w:p>
    <w:p w14:paraId="60754D99" w14:textId="77777777" w:rsidR="002C5D4C" w:rsidRDefault="002C5D4C" w:rsidP="002C5D4C">
      <w:pPr>
        <w:spacing w:after="0"/>
        <w:ind w:left="270"/>
        <w:rPr>
          <w:sz w:val="20"/>
          <w:szCs w:val="20"/>
        </w:rPr>
      </w:pPr>
    </w:p>
    <w:p w14:paraId="0FA79FD9" w14:textId="77777777" w:rsidR="002C5D4C" w:rsidRDefault="002C5D4C" w:rsidP="00CB4DAE">
      <w:pPr>
        <w:spacing w:after="0"/>
        <w:rPr>
          <w:sz w:val="20"/>
          <w:szCs w:val="20"/>
        </w:rPr>
      </w:pPr>
    </w:p>
    <w:p w14:paraId="285AFF31" w14:textId="0F572093" w:rsidR="00565F72" w:rsidRPr="00E8122F" w:rsidRDefault="00E8122F" w:rsidP="00E8122F">
      <w:pPr>
        <w:spacing w:after="0"/>
        <w:ind w:left="270"/>
        <w:rPr>
          <w:sz w:val="20"/>
          <w:szCs w:val="20"/>
        </w:rPr>
      </w:pPr>
      <w:r>
        <w:rPr>
          <w:sz w:val="20"/>
          <w:szCs w:val="20"/>
        </w:rPr>
        <w:t>Furthermore, also in section 2.2, it states (line 347): “</w:t>
      </w:r>
      <w:r w:rsidRPr="00E8122F">
        <w:rPr>
          <w:color w:val="0070C0"/>
          <w:sz w:val="20"/>
          <w:szCs w:val="20"/>
        </w:rPr>
        <w:t>a complete ECF 4.1 system MUST include at least one each of the Filing Assembly, Filing Review and Court Record MDEs</w:t>
      </w:r>
      <w:r w:rsidRPr="00E8122F">
        <w:rPr>
          <w:sz w:val="20"/>
          <w:szCs w:val="20"/>
        </w:rPr>
        <w:t>.</w:t>
      </w:r>
      <w:r>
        <w:rPr>
          <w:sz w:val="20"/>
          <w:szCs w:val="20"/>
        </w:rPr>
        <w:t>”</w:t>
      </w:r>
    </w:p>
    <w:p w14:paraId="18B5550D" w14:textId="7F8C8DCA" w:rsidR="00E8122F" w:rsidRDefault="00E8122F" w:rsidP="00E8122F">
      <w:pPr>
        <w:spacing w:after="0"/>
        <w:ind w:left="270"/>
        <w:rPr>
          <w:sz w:val="20"/>
          <w:szCs w:val="20"/>
        </w:rPr>
      </w:pPr>
    </w:p>
    <w:p w14:paraId="20B3BC71" w14:textId="19253CAE" w:rsidR="00872CE6" w:rsidRDefault="00E8122F" w:rsidP="00E8122F">
      <w:pPr>
        <w:spacing w:after="0"/>
        <w:ind w:left="270"/>
        <w:rPr>
          <w:sz w:val="20"/>
          <w:szCs w:val="20"/>
        </w:rPr>
      </w:pPr>
      <w:r>
        <w:rPr>
          <w:sz w:val="20"/>
          <w:szCs w:val="20"/>
        </w:rPr>
        <w:t>Since the Filing Assembly MDE no longer has any required operations</w:t>
      </w:r>
      <w:r w:rsidR="00C722F8">
        <w:rPr>
          <w:sz w:val="20"/>
          <w:szCs w:val="20"/>
        </w:rPr>
        <w:t xml:space="preserve"> (e.g., NotifyFilingReviewComplete no longer need be provided)</w:t>
      </w:r>
      <w:r>
        <w:rPr>
          <w:sz w:val="20"/>
          <w:szCs w:val="20"/>
        </w:rPr>
        <w:t xml:space="preserve">, </w:t>
      </w:r>
      <w:r w:rsidR="00A95687">
        <w:rPr>
          <w:sz w:val="20"/>
          <w:szCs w:val="20"/>
        </w:rPr>
        <w:t xml:space="preserve">then </w:t>
      </w:r>
      <w:r>
        <w:rPr>
          <w:sz w:val="20"/>
          <w:szCs w:val="20"/>
        </w:rPr>
        <w:t>should this provision be revised?</w:t>
      </w:r>
      <w:r w:rsidR="00CF4455">
        <w:rPr>
          <w:sz w:val="20"/>
          <w:szCs w:val="20"/>
        </w:rPr>
        <w:t xml:space="preserve"> </w:t>
      </w:r>
    </w:p>
    <w:p w14:paraId="7ECCF7D9" w14:textId="77777777" w:rsidR="00872CE6" w:rsidRDefault="00872CE6" w:rsidP="00E8122F">
      <w:pPr>
        <w:spacing w:after="0"/>
        <w:ind w:left="270"/>
        <w:rPr>
          <w:sz w:val="20"/>
          <w:szCs w:val="20"/>
        </w:rPr>
      </w:pPr>
    </w:p>
    <w:p w14:paraId="4E2875D1" w14:textId="07513280" w:rsidR="00E8122F" w:rsidRDefault="00CF4455" w:rsidP="00E8122F">
      <w:pPr>
        <w:spacing w:after="0"/>
        <w:ind w:left="270"/>
        <w:rPr>
          <w:sz w:val="20"/>
          <w:szCs w:val="20"/>
        </w:rPr>
      </w:pPr>
      <w:r>
        <w:rPr>
          <w:sz w:val="20"/>
          <w:szCs w:val="20"/>
        </w:rPr>
        <w:t xml:space="preserve">Or is the intent that an MDE (e.g., FAMDE) must not only provide required operations, but also must be able to invoke required operations on other </w:t>
      </w:r>
      <w:r w:rsidR="006B7968">
        <w:rPr>
          <w:sz w:val="20"/>
          <w:szCs w:val="20"/>
        </w:rPr>
        <w:t xml:space="preserve">interfacing </w:t>
      </w:r>
      <w:r>
        <w:rPr>
          <w:sz w:val="20"/>
          <w:szCs w:val="20"/>
        </w:rPr>
        <w:t>MDEs (e.g., as illustrated in Figure 4)?</w:t>
      </w:r>
      <w:r w:rsidR="00C722F8">
        <w:rPr>
          <w:sz w:val="20"/>
          <w:szCs w:val="20"/>
        </w:rPr>
        <w:t xml:space="preserve"> If stated this way, the FAMDE could still be a required operation since ReviewFiling is a required operation. Presumably, any software/system that can invoke ReviewFiling is therefore an FAMDE, even if this system is not capable of enabling “</w:t>
      </w:r>
      <w:r w:rsidR="00C722F8" w:rsidRPr="00C722F8">
        <w:rPr>
          <w:color w:val="0070C0"/>
          <w:sz w:val="20"/>
          <w:szCs w:val="20"/>
        </w:rPr>
        <w:t>a filer to create a filing message for submission to a court</w:t>
      </w:r>
      <w:r w:rsidR="00C722F8">
        <w:rPr>
          <w:sz w:val="20"/>
          <w:szCs w:val="20"/>
        </w:rPr>
        <w:t>”.</w:t>
      </w:r>
    </w:p>
    <w:p w14:paraId="0EDC4B6D" w14:textId="184D3EB0" w:rsidR="00E8122F" w:rsidRDefault="00E8122F" w:rsidP="00E8122F">
      <w:pPr>
        <w:spacing w:after="0"/>
        <w:ind w:left="270"/>
        <w:rPr>
          <w:sz w:val="20"/>
          <w:szCs w:val="20"/>
        </w:rPr>
      </w:pPr>
    </w:p>
    <w:p w14:paraId="666AAD58" w14:textId="253946B7" w:rsidR="00872CE6" w:rsidRDefault="00872CE6" w:rsidP="00E8122F">
      <w:pPr>
        <w:spacing w:after="0"/>
        <w:ind w:left="270"/>
        <w:rPr>
          <w:sz w:val="20"/>
          <w:szCs w:val="20"/>
        </w:rPr>
      </w:pPr>
      <w:r>
        <w:rPr>
          <w:sz w:val="20"/>
          <w:szCs w:val="20"/>
        </w:rPr>
        <w:lastRenderedPageBreak/>
        <w:t xml:space="preserve">Or is the intent that any operation that can be required but may not be required, such as NotifyDocketingComplete and NotifyFilingReviewComplete, must be provided by the appropriate MDE, even when not required </w:t>
      </w:r>
      <w:r w:rsidR="00934911">
        <w:rPr>
          <w:sz w:val="20"/>
          <w:szCs w:val="20"/>
        </w:rPr>
        <w:t xml:space="preserve">by </w:t>
      </w:r>
      <w:r>
        <w:rPr>
          <w:sz w:val="20"/>
          <w:szCs w:val="20"/>
        </w:rPr>
        <w:t>or not employed in an implementation?</w:t>
      </w:r>
    </w:p>
    <w:p w14:paraId="100A4A05" w14:textId="77777777" w:rsidR="00872CE6" w:rsidRDefault="00872CE6" w:rsidP="00E8122F">
      <w:pPr>
        <w:spacing w:after="0"/>
        <w:ind w:left="270"/>
        <w:rPr>
          <w:sz w:val="20"/>
          <w:szCs w:val="20"/>
        </w:rPr>
      </w:pPr>
    </w:p>
    <w:p w14:paraId="13F55299" w14:textId="339BBEA8" w:rsidR="007213D5" w:rsidRDefault="00C722F8" w:rsidP="00E8122F">
      <w:pPr>
        <w:spacing w:after="0"/>
        <w:ind w:left="270"/>
        <w:rPr>
          <w:sz w:val="20"/>
          <w:szCs w:val="20"/>
        </w:rPr>
      </w:pPr>
      <w:r>
        <w:rPr>
          <w:sz w:val="20"/>
          <w:szCs w:val="20"/>
        </w:rPr>
        <w:t xml:space="preserve">Further Recommendation: </w:t>
      </w:r>
    </w:p>
    <w:p w14:paraId="78EE0872" w14:textId="77777777" w:rsidR="00A95687" w:rsidRDefault="00A95687" w:rsidP="00E8122F">
      <w:pPr>
        <w:spacing w:after="0"/>
        <w:ind w:left="270"/>
        <w:rPr>
          <w:sz w:val="20"/>
          <w:szCs w:val="20"/>
        </w:rPr>
      </w:pPr>
    </w:p>
    <w:p w14:paraId="390D97EC" w14:textId="7A1B17DC" w:rsidR="00FF126A" w:rsidRDefault="00A95687" w:rsidP="00E8122F">
      <w:pPr>
        <w:spacing w:after="0"/>
        <w:ind w:left="270"/>
        <w:rPr>
          <w:sz w:val="20"/>
          <w:szCs w:val="20"/>
        </w:rPr>
      </w:pPr>
      <w:r>
        <w:rPr>
          <w:sz w:val="20"/>
          <w:szCs w:val="20"/>
        </w:rPr>
        <w:t xml:space="preserve">d. </w:t>
      </w:r>
      <w:r w:rsidR="00934911">
        <w:rPr>
          <w:sz w:val="20"/>
          <w:szCs w:val="20"/>
        </w:rPr>
        <w:t xml:space="preserve">Consider whether MDEs must provide operations that may be optionally required in an implementation, such as NotifyDocketingComplete and NotifyFilingReviewComplete. </w:t>
      </w:r>
    </w:p>
    <w:p w14:paraId="1FBB314D" w14:textId="77777777" w:rsidR="00FF126A" w:rsidRDefault="00FF126A" w:rsidP="00E8122F">
      <w:pPr>
        <w:spacing w:after="0"/>
        <w:ind w:left="270"/>
        <w:rPr>
          <w:sz w:val="20"/>
          <w:szCs w:val="20"/>
        </w:rPr>
      </w:pPr>
    </w:p>
    <w:p w14:paraId="265CAD27" w14:textId="6B5F2951" w:rsidR="00E8122F" w:rsidRDefault="00934911" w:rsidP="008B4A89">
      <w:pPr>
        <w:spacing w:after="0"/>
        <w:ind w:left="450"/>
        <w:rPr>
          <w:sz w:val="20"/>
          <w:szCs w:val="20"/>
        </w:rPr>
      </w:pPr>
      <w:r>
        <w:rPr>
          <w:sz w:val="20"/>
          <w:szCs w:val="20"/>
        </w:rPr>
        <w:t>Presumably, operations that are not employed in an implementation also will not need to be supported by relevant MDE. If this is the case, then when NotifyFilingReviewComplete is not implemented, can a ‘complete ECF 4.1 system’ only provide FRMDE and CRMDE?</w:t>
      </w:r>
      <w:r w:rsidR="00F71A5C">
        <w:rPr>
          <w:sz w:val="20"/>
          <w:szCs w:val="20"/>
        </w:rPr>
        <w:t xml:space="preserve"> Or, if a ‘complete ECF 4.1 system’ must provide FAMDE (even when not using NotifyFilingReviewComplete), is it a requirement that FAMDE must be able to invoke FilingReview on the FRMDE?</w:t>
      </w:r>
    </w:p>
    <w:p w14:paraId="3CC0FA2B" w14:textId="524A1345" w:rsidR="00FF126A" w:rsidRDefault="00FF126A" w:rsidP="00E8122F">
      <w:pPr>
        <w:spacing w:after="0"/>
        <w:ind w:left="270"/>
        <w:rPr>
          <w:sz w:val="20"/>
          <w:szCs w:val="20"/>
        </w:rPr>
      </w:pPr>
    </w:p>
    <w:p w14:paraId="7ED21B20" w14:textId="17697962" w:rsidR="00FF126A" w:rsidRDefault="00A95687" w:rsidP="00E8122F">
      <w:pPr>
        <w:spacing w:after="0"/>
        <w:ind w:left="270"/>
        <w:rPr>
          <w:sz w:val="20"/>
          <w:szCs w:val="20"/>
        </w:rPr>
      </w:pPr>
      <w:r>
        <w:rPr>
          <w:sz w:val="20"/>
          <w:szCs w:val="20"/>
        </w:rPr>
        <w:t xml:space="preserve">e. </w:t>
      </w:r>
      <w:r w:rsidR="00FF126A">
        <w:rPr>
          <w:sz w:val="20"/>
          <w:szCs w:val="20"/>
        </w:rPr>
        <w:t>Modify the first sentence in Appendix C (line 1337), revising “operations that are provided” to “operations that may be provided”.</w:t>
      </w:r>
    </w:p>
    <w:p w14:paraId="446270E1" w14:textId="423B558B" w:rsidR="008260BE" w:rsidRDefault="008260BE" w:rsidP="00E8122F">
      <w:pPr>
        <w:spacing w:after="0"/>
        <w:ind w:left="270"/>
        <w:rPr>
          <w:sz w:val="20"/>
          <w:szCs w:val="20"/>
        </w:rPr>
      </w:pPr>
    </w:p>
    <w:p w14:paraId="794D99AC" w14:textId="77777777" w:rsidR="007D7FC7" w:rsidRDefault="007D7FC7" w:rsidP="00E8122F">
      <w:pPr>
        <w:spacing w:after="0"/>
        <w:ind w:left="270"/>
        <w:rPr>
          <w:sz w:val="20"/>
          <w:szCs w:val="20"/>
        </w:rPr>
      </w:pPr>
    </w:p>
    <w:p w14:paraId="52096263" w14:textId="15F39DA5" w:rsidR="008260BE" w:rsidRDefault="00255A4E" w:rsidP="00A8285F">
      <w:pPr>
        <w:spacing w:after="0"/>
        <w:rPr>
          <w:sz w:val="20"/>
          <w:szCs w:val="20"/>
        </w:rPr>
      </w:pPr>
      <w:r>
        <w:rPr>
          <w:sz w:val="20"/>
          <w:szCs w:val="20"/>
        </w:rPr>
        <w:t>14</w:t>
      </w:r>
      <w:r w:rsidR="00A8285F">
        <w:rPr>
          <w:sz w:val="20"/>
          <w:szCs w:val="20"/>
        </w:rPr>
        <w:t>.</w:t>
      </w:r>
      <w:r>
        <w:rPr>
          <w:sz w:val="20"/>
          <w:szCs w:val="20"/>
        </w:rPr>
        <w:t xml:space="preserve"> </w:t>
      </w:r>
      <w:r w:rsidR="00096AEB">
        <w:rPr>
          <w:sz w:val="20"/>
          <w:szCs w:val="20"/>
        </w:rPr>
        <w:t>Addition</w:t>
      </w:r>
      <w:r w:rsidR="008260BE">
        <w:rPr>
          <w:sz w:val="20"/>
          <w:szCs w:val="20"/>
        </w:rPr>
        <w:t>ally, consider the statement in section 3.1 (line 587), i.e., “</w:t>
      </w:r>
      <w:r w:rsidR="008260BE" w:rsidRPr="008260BE">
        <w:rPr>
          <w:color w:val="0070C0"/>
          <w:sz w:val="20"/>
          <w:szCs w:val="20"/>
        </w:rPr>
        <w:t>The operations in bold are required and MUST occur in every successful filing as long as sending and receiving MDEs are implemented in separate systems</w:t>
      </w:r>
      <w:r w:rsidR="008260BE">
        <w:rPr>
          <w:sz w:val="20"/>
          <w:szCs w:val="20"/>
        </w:rPr>
        <w:t>.”</w:t>
      </w:r>
      <w:r w:rsidR="009E5A9A">
        <w:rPr>
          <w:sz w:val="20"/>
          <w:szCs w:val="20"/>
        </w:rPr>
        <w:t xml:space="preserve"> Recall that as of ECF 4.1 there are now only two required operations, i.e., ReviewFiling and RecordFiling.</w:t>
      </w:r>
    </w:p>
    <w:p w14:paraId="2E195FEC" w14:textId="5787952C" w:rsidR="008260BE" w:rsidRDefault="008260BE" w:rsidP="00E8122F">
      <w:pPr>
        <w:spacing w:after="0"/>
        <w:ind w:left="270"/>
        <w:rPr>
          <w:sz w:val="20"/>
          <w:szCs w:val="20"/>
        </w:rPr>
      </w:pPr>
    </w:p>
    <w:p w14:paraId="0064FA8B" w14:textId="77777777" w:rsidR="007D7FC7" w:rsidRDefault="008260BE" w:rsidP="00E8122F">
      <w:pPr>
        <w:spacing w:after="0"/>
        <w:ind w:left="270"/>
        <w:rPr>
          <w:sz w:val="20"/>
          <w:szCs w:val="20"/>
        </w:rPr>
      </w:pPr>
      <w:r>
        <w:rPr>
          <w:sz w:val="20"/>
          <w:szCs w:val="20"/>
        </w:rPr>
        <w:t>It is not clear what is meant by the provision “</w:t>
      </w:r>
      <w:r w:rsidRPr="008260BE">
        <w:rPr>
          <w:color w:val="0070C0"/>
          <w:sz w:val="20"/>
          <w:szCs w:val="20"/>
        </w:rPr>
        <w:t>as long as sending and receiving MDEs are implemented in separate systems</w:t>
      </w:r>
      <w:r>
        <w:rPr>
          <w:sz w:val="20"/>
          <w:szCs w:val="20"/>
        </w:rPr>
        <w:t xml:space="preserve">”.  </w:t>
      </w:r>
    </w:p>
    <w:p w14:paraId="50E5C6E8" w14:textId="77777777" w:rsidR="007D7FC7" w:rsidRDefault="007D7FC7" w:rsidP="00E8122F">
      <w:pPr>
        <w:spacing w:after="0"/>
        <w:ind w:left="270"/>
        <w:rPr>
          <w:sz w:val="20"/>
          <w:szCs w:val="20"/>
        </w:rPr>
      </w:pPr>
    </w:p>
    <w:p w14:paraId="0772A7BB" w14:textId="4C053FB5" w:rsidR="008260BE" w:rsidRDefault="009E5A9A" w:rsidP="00E8122F">
      <w:pPr>
        <w:spacing w:after="0"/>
        <w:ind w:left="270"/>
        <w:rPr>
          <w:sz w:val="20"/>
          <w:szCs w:val="20"/>
        </w:rPr>
      </w:pPr>
      <w:r>
        <w:rPr>
          <w:sz w:val="20"/>
          <w:szCs w:val="20"/>
        </w:rPr>
        <w:t xml:space="preserve">I seem to recall that this provision was added as a way to address systems in which the Clerk Review functions of the FRMDE were provided within the same software system (e.g., </w:t>
      </w:r>
      <w:r w:rsidR="007D7FC7">
        <w:rPr>
          <w:sz w:val="20"/>
          <w:szCs w:val="20"/>
        </w:rPr>
        <w:t>C</w:t>
      </w:r>
      <w:r>
        <w:rPr>
          <w:sz w:val="20"/>
          <w:szCs w:val="20"/>
        </w:rPr>
        <w:t xml:space="preserve">ase Management System) as the RecordFiling functions. </w:t>
      </w:r>
      <w:r w:rsidR="00760C50">
        <w:rPr>
          <w:sz w:val="20"/>
          <w:szCs w:val="20"/>
        </w:rPr>
        <w:t>Thereby</w:t>
      </w:r>
      <w:r w:rsidR="007D7FC7">
        <w:rPr>
          <w:sz w:val="20"/>
          <w:szCs w:val="20"/>
        </w:rPr>
        <w:t xml:space="preserve"> only making</w:t>
      </w:r>
      <w:r>
        <w:rPr>
          <w:sz w:val="20"/>
          <w:szCs w:val="20"/>
        </w:rPr>
        <w:t xml:space="preserve"> RecordFiling a required operation when the FRMDE and the CRMDE are in separate software systems.</w:t>
      </w:r>
    </w:p>
    <w:p w14:paraId="7AD89B1B" w14:textId="62C35876" w:rsidR="006D3D25" w:rsidRDefault="006D3D25" w:rsidP="00E8122F">
      <w:pPr>
        <w:spacing w:after="0"/>
        <w:ind w:left="270"/>
        <w:rPr>
          <w:sz w:val="20"/>
          <w:szCs w:val="20"/>
        </w:rPr>
      </w:pPr>
    </w:p>
    <w:p w14:paraId="7B25983B" w14:textId="529822C8" w:rsidR="006D3D25" w:rsidRDefault="006D3D25" w:rsidP="00E8122F">
      <w:pPr>
        <w:spacing w:after="0"/>
        <w:ind w:left="270"/>
        <w:rPr>
          <w:sz w:val="20"/>
          <w:szCs w:val="20"/>
        </w:rPr>
      </w:pPr>
      <w:r>
        <w:rPr>
          <w:sz w:val="20"/>
          <w:szCs w:val="20"/>
        </w:rPr>
        <w:t>If this is the intent, th</w:t>
      </w:r>
      <w:r w:rsidR="00B3384F">
        <w:rPr>
          <w:sz w:val="20"/>
          <w:szCs w:val="20"/>
        </w:rPr>
        <w:t>en</w:t>
      </w:r>
      <w:r>
        <w:rPr>
          <w:sz w:val="20"/>
          <w:szCs w:val="20"/>
        </w:rPr>
        <w:t xml:space="preserve"> take note of the compliance statement in section 2.2 ‘</w:t>
      </w:r>
      <w:r w:rsidR="00760C50">
        <w:rPr>
          <w:sz w:val="20"/>
          <w:szCs w:val="20"/>
        </w:rPr>
        <w:t>M</w:t>
      </w:r>
      <w:r>
        <w:rPr>
          <w:sz w:val="20"/>
          <w:szCs w:val="20"/>
        </w:rPr>
        <w:t>ajor Design Elements’, line 347, “</w:t>
      </w:r>
      <w:r w:rsidRPr="006D3D25">
        <w:rPr>
          <w:color w:val="0070C0"/>
          <w:sz w:val="20"/>
          <w:szCs w:val="20"/>
        </w:rPr>
        <w:t>a complete ECF 4.1 system MUST include at least one each of the Filing Assembly, Filing Review and Court Record MDEs</w:t>
      </w:r>
      <w:r w:rsidRPr="006D3D25">
        <w:rPr>
          <w:sz w:val="20"/>
          <w:szCs w:val="20"/>
        </w:rPr>
        <w:t>.</w:t>
      </w:r>
      <w:r>
        <w:rPr>
          <w:sz w:val="20"/>
          <w:szCs w:val="20"/>
        </w:rPr>
        <w:t xml:space="preserve">” This precludes any system in which the Clerk Review functions are provided within the same software system as docketing/RecordFiling functions, wherein the RecordFiling operation </w:t>
      </w:r>
      <w:r w:rsidR="00760C50">
        <w:rPr>
          <w:sz w:val="20"/>
          <w:szCs w:val="20"/>
        </w:rPr>
        <w:t>need</w:t>
      </w:r>
      <w:r>
        <w:rPr>
          <w:sz w:val="20"/>
          <w:szCs w:val="20"/>
        </w:rPr>
        <w:t xml:space="preserve"> not </w:t>
      </w:r>
      <w:r w:rsidR="00760C50">
        <w:rPr>
          <w:sz w:val="20"/>
          <w:szCs w:val="20"/>
        </w:rPr>
        <w:t xml:space="preserve">be </w:t>
      </w:r>
      <w:r>
        <w:rPr>
          <w:sz w:val="20"/>
          <w:szCs w:val="20"/>
        </w:rPr>
        <w:t xml:space="preserve">named “RecordFiling” and </w:t>
      </w:r>
      <w:r w:rsidR="00760C50">
        <w:rPr>
          <w:sz w:val="20"/>
          <w:szCs w:val="20"/>
        </w:rPr>
        <w:t>need</w:t>
      </w:r>
      <w:r>
        <w:rPr>
          <w:sz w:val="20"/>
          <w:szCs w:val="20"/>
        </w:rPr>
        <w:t xml:space="preserve"> not </w:t>
      </w:r>
      <w:r w:rsidR="00255A4E">
        <w:rPr>
          <w:sz w:val="20"/>
          <w:szCs w:val="20"/>
        </w:rPr>
        <w:t xml:space="preserve">be </w:t>
      </w:r>
      <w:r>
        <w:rPr>
          <w:sz w:val="20"/>
          <w:szCs w:val="20"/>
        </w:rPr>
        <w:t>invoked using ECF 4.1 RecordFilng request XML</w:t>
      </w:r>
      <w:r w:rsidR="00186F23">
        <w:rPr>
          <w:sz w:val="20"/>
          <w:szCs w:val="20"/>
        </w:rPr>
        <w:t>, from being considered as a “complete system”.</w:t>
      </w:r>
    </w:p>
    <w:p w14:paraId="0BCEA35B" w14:textId="115D9867" w:rsidR="002F42FA" w:rsidRDefault="002F42FA" w:rsidP="00E8122F">
      <w:pPr>
        <w:spacing w:after="0"/>
        <w:ind w:left="270"/>
        <w:rPr>
          <w:sz w:val="20"/>
          <w:szCs w:val="20"/>
        </w:rPr>
      </w:pPr>
    </w:p>
    <w:p w14:paraId="4EAC5FB0" w14:textId="505848B6" w:rsidR="002F42FA" w:rsidRDefault="002F42FA" w:rsidP="00E8122F">
      <w:pPr>
        <w:spacing w:after="0"/>
        <w:ind w:left="270"/>
        <w:rPr>
          <w:sz w:val="20"/>
          <w:szCs w:val="20"/>
        </w:rPr>
      </w:pPr>
      <w:r>
        <w:rPr>
          <w:sz w:val="20"/>
          <w:szCs w:val="20"/>
        </w:rPr>
        <w:t xml:space="preserve">Note that it’s not clear what the distinction is between a “complete system” and a “compliant implementation”. Section 2.2 uses the </w:t>
      </w:r>
      <w:r w:rsidR="00576403">
        <w:rPr>
          <w:sz w:val="20"/>
          <w:szCs w:val="20"/>
        </w:rPr>
        <w:t>phrase</w:t>
      </w:r>
      <w:r>
        <w:rPr>
          <w:sz w:val="20"/>
          <w:szCs w:val="20"/>
        </w:rPr>
        <w:t xml:space="preserve">s “compliant implementation” and </w:t>
      </w:r>
      <w:r w:rsidR="000247EF">
        <w:rPr>
          <w:sz w:val="20"/>
          <w:szCs w:val="20"/>
        </w:rPr>
        <w:t>“complete ECF 4.1 system”, suggesting that ‘complete’ may not be ‘compliant’ and perhaps that ‘compliance’ need not be ‘complete’.</w:t>
      </w:r>
    </w:p>
    <w:p w14:paraId="743EE973" w14:textId="2C8EDF7C" w:rsidR="006D3D25" w:rsidRDefault="006D3D25" w:rsidP="00E8122F">
      <w:pPr>
        <w:spacing w:after="0"/>
        <w:ind w:left="270"/>
        <w:rPr>
          <w:sz w:val="20"/>
          <w:szCs w:val="20"/>
        </w:rPr>
      </w:pPr>
    </w:p>
    <w:p w14:paraId="00205185" w14:textId="5110BE57" w:rsidR="006D3D25" w:rsidRPr="008260BE" w:rsidRDefault="00255A4E" w:rsidP="00E8122F">
      <w:pPr>
        <w:spacing w:after="0"/>
        <w:ind w:left="270"/>
        <w:rPr>
          <w:sz w:val="20"/>
          <w:szCs w:val="20"/>
        </w:rPr>
      </w:pPr>
      <w:r>
        <w:rPr>
          <w:sz w:val="20"/>
          <w:szCs w:val="20"/>
        </w:rPr>
        <w:t>a</w:t>
      </w:r>
      <w:r w:rsidR="006A658D">
        <w:rPr>
          <w:sz w:val="20"/>
          <w:szCs w:val="20"/>
        </w:rPr>
        <w:t xml:space="preserve">. </w:t>
      </w:r>
      <w:r w:rsidR="006D3D25">
        <w:rPr>
          <w:sz w:val="20"/>
          <w:szCs w:val="20"/>
        </w:rPr>
        <w:t>Consider the following restatements:</w:t>
      </w:r>
    </w:p>
    <w:p w14:paraId="6D533F73" w14:textId="4A0EE93C" w:rsidR="008260BE" w:rsidRDefault="008260BE" w:rsidP="00E8122F">
      <w:pPr>
        <w:spacing w:after="0"/>
        <w:ind w:left="270"/>
        <w:rPr>
          <w:sz w:val="20"/>
          <w:szCs w:val="20"/>
        </w:rPr>
      </w:pPr>
    </w:p>
    <w:p w14:paraId="39169284" w14:textId="4AC389F8" w:rsidR="009E5A9A" w:rsidRPr="00E14708" w:rsidRDefault="009E5A9A" w:rsidP="00E8122F">
      <w:pPr>
        <w:spacing w:after="0"/>
        <w:ind w:left="270"/>
        <w:rPr>
          <w:color w:val="C45911" w:themeColor="accent2" w:themeShade="BF"/>
          <w:sz w:val="20"/>
          <w:szCs w:val="20"/>
        </w:rPr>
      </w:pPr>
      <w:r w:rsidRPr="00E14708">
        <w:rPr>
          <w:color w:val="C45911" w:themeColor="accent2" w:themeShade="BF"/>
          <w:sz w:val="20"/>
          <w:szCs w:val="20"/>
        </w:rPr>
        <w:t>The ReviewFiling and RecordFiling operations are required in a complete ECF 4.1 system</w:t>
      </w:r>
      <w:r w:rsidR="00186F23" w:rsidRPr="00E14708">
        <w:rPr>
          <w:color w:val="C45911" w:themeColor="accent2" w:themeShade="BF"/>
          <w:sz w:val="20"/>
          <w:szCs w:val="20"/>
        </w:rPr>
        <w:t xml:space="preserve"> as prescribed in Section 2.2. </w:t>
      </w:r>
      <w:r w:rsidR="007D7FC7">
        <w:rPr>
          <w:color w:val="C45911" w:themeColor="accent2" w:themeShade="BF"/>
          <w:sz w:val="20"/>
          <w:szCs w:val="20"/>
        </w:rPr>
        <w:t>However, when the RecordFiling operation has been implemented within the same system as the ReviewFiling operation, then the RecordFiling operation need not be provided in an ECF 4.1 compliant manner.</w:t>
      </w:r>
    </w:p>
    <w:p w14:paraId="5568F0A0" w14:textId="33426FDD" w:rsidR="00C722F8" w:rsidRDefault="00C722F8" w:rsidP="00E8122F">
      <w:pPr>
        <w:spacing w:after="0"/>
        <w:ind w:left="270"/>
        <w:rPr>
          <w:sz w:val="20"/>
          <w:szCs w:val="20"/>
        </w:rPr>
      </w:pPr>
    </w:p>
    <w:p w14:paraId="16CA400A" w14:textId="040F0815" w:rsidR="009B5FAD" w:rsidRDefault="009B5FAD" w:rsidP="00E8122F">
      <w:pPr>
        <w:spacing w:after="0"/>
        <w:ind w:left="270"/>
        <w:rPr>
          <w:sz w:val="20"/>
          <w:szCs w:val="20"/>
        </w:rPr>
      </w:pPr>
      <w:r>
        <w:rPr>
          <w:sz w:val="20"/>
          <w:szCs w:val="20"/>
        </w:rPr>
        <w:t>This has the effect of making the RecordFiling operation a “conditionally” required operation.</w:t>
      </w:r>
    </w:p>
    <w:p w14:paraId="4FB5CEF7" w14:textId="0CD1C28F" w:rsidR="009B5FAD" w:rsidRDefault="009B5FAD" w:rsidP="00E8122F">
      <w:pPr>
        <w:spacing w:after="0"/>
        <w:ind w:left="270"/>
        <w:rPr>
          <w:sz w:val="20"/>
          <w:szCs w:val="20"/>
        </w:rPr>
      </w:pPr>
    </w:p>
    <w:p w14:paraId="66219FD8" w14:textId="43621503" w:rsidR="009B5FAD" w:rsidRDefault="009B5FAD" w:rsidP="00E8122F">
      <w:pPr>
        <w:spacing w:after="0"/>
        <w:ind w:left="270"/>
        <w:rPr>
          <w:sz w:val="20"/>
          <w:szCs w:val="20"/>
        </w:rPr>
      </w:pPr>
      <w:r>
        <w:rPr>
          <w:sz w:val="20"/>
          <w:szCs w:val="20"/>
        </w:rPr>
        <w:t>So, when the RecordFiling function is not explicitly provided in an ECF v4.1 compliant manner (e.g., is provided within the same software system as the Clerk Review functions)</w:t>
      </w:r>
      <w:r w:rsidR="002F6EE4">
        <w:rPr>
          <w:sz w:val="20"/>
          <w:szCs w:val="20"/>
        </w:rPr>
        <w:t xml:space="preserve">, and when </w:t>
      </w:r>
      <w:r w:rsidR="002F6EE4" w:rsidRPr="002F6EE4">
        <w:rPr>
          <w:sz w:val="20"/>
          <w:szCs w:val="20"/>
        </w:rPr>
        <w:t>&lt;RequireAsynchronousResponsesIndicator&gt;</w:t>
      </w:r>
      <w:r w:rsidR="002F6EE4">
        <w:rPr>
          <w:sz w:val="20"/>
          <w:szCs w:val="20"/>
        </w:rPr>
        <w:t xml:space="preserve"> in Court Policy is true, then is the callback message (e.g., ReviewFilingCallbackMessage) required? </w:t>
      </w:r>
    </w:p>
    <w:p w14:paraId="73765B83" w14:textId="1EA19898" w:rsidR="002F6EE4" w:rsidRDefault="002F6EE4" w:rsidP="00E8122F">
      <w:pPr>
        <w:spacing w:after="0"/>
        <w:ind w:left="270"/>
        <w:rPr>
          <w:sz w:val="20"/>
          <w:szCs w:val="20"/>
        </w:rPr>
      </w:pPr>
    </w:p>
    <w:p w14:paraId="3867B731" w14:textId="61299DFA" w:rsidR="002F6EE4" w:rsidRDefault="002F6EE4" w:rsidP="00E8122F">
      <w:pPr>
        <w:spacing w:after="0"/>
        <w:ind w:left="270"/>
        <w:rPr>
          <w:sz w:val="20"/>
          <w:szCs w:val="20"/>
        </w:rPr>
      </w:pPr>
      <w:r>
        <w:rPr>
          <w:sz w:val="20"/>
          <w:szCs w:val="20"/>
        </w:rPr>
        <w:t>I would think so, even if it is a misnomer to consider it a callback message.</w:t>
      </w:r>
    </w:p>
    <w:p w14:paraId="05667B42" w14:textId="47934FBE" w:rsidR="009B5FAD" w:rsidRDefault="009B5FAD" w:rsidP="00E8122F">
      <w:pPr>
        <w:spacing w:after="0"/>
        <w:ind w:left="270"/>
        <w:rPr>
          <w:sz w:val="20"/>
          <w:szCs w:val="20"/>
        </w:rPr>
      </w:pPr>
    </w:p>
    <w:p w14:paraId="796711C6" w14:textId="1849D23E" w:rsidR="009B5FAD" w:rsidRDefault="00255A4E" w:rsidP="00E8122F">
      <w:pPr>
        <w:spacing w:after="0"/>
        <w:ind w:left="270"/>
        <w:rPr>
          <w:sz w:val="20"/>
          <w:szCs w:val="20"/>
        </w:rPr>
      </w:pPr>
      <w:r>
        <w:rPr>
          <w:sz w:val="20"/>
          <w:szCs w:val="20"/>
        </w:rPr>
        <w:t>b</w:t>
      </w:r>
      <w:r w:rsidR="00096AEB">
        <w:rPr>
          <w:sz w:val="20"/>
          <w:szCs w:val="20"/>
        </w:rPr>
        <w:t>. Finally, in Section 2.2, line 355 provides “</w:t>
      </w:r>
      <w:r w:rsidR="00096AEB" w:rsidRPr="00096AEB">
        <w:rPr>
          <w:color w:val="0070C0"/>
          <w:sz w:val="20"/>
          <w:szCs w:val="20"/>
        </w:rPr>
        <w:t>In order to be compliant with ECF 4.1, an MDE must support all messages required for that MDE</w:t>
      </w:r>
      <w:r w:rsidR="00096AEB" w:rsidRPr="00096AEB">
        <w:rPr>
          <w:sz w:val="20"/>
          <w:szCs w:val="20"/>
        </w:rPr>
        <w:t>.</w:t>
      </w:r>
      <w:r w:rsidR="00096AEB">
        <w:rPr>
          <w:sz w:val="20"/>
          <w:szCs w:val="20"/>
        </w:rPr>
        <w:t>”  Should the word “must” be “MUST” instead?</w:t>
      </w:r>
    </w:p>
    <w:p w14:paraId="63134EAA" w14:textId="76BDCE29" w:rsidR="008913DF" w:rsidRDefault="008913DF" w:rsidP="00E8122F">
      <w:pPr>
        <w:spacing w:after="0"/>
        <w:ind w:left="270"/>
        <w:rPr>
          <w:sz w:val="20"/>
          <w:szCs w:val="20"/>
        </w:rPr>
      </w:pPr>
    </w:p>
    <w:p w14:paraId="6A9AE524" w14:textId="03F76DA7" w:rsidR="008913DF" w:rsidRDefault="008913DF" w:rsidP="00E8122F">
      <w:pPr>
        <w:spacing w:after="0"/>
        <w:ind w:left="270"/>
        <w:rPr>
          <w:sz w:val="20"/>
          <w:szCs w:val="20"/>
        </w:rPr>
      </w:pPr>
      <w:r>
        <w:rPr>
          <w:sz w:val="20"/>
          <w:szCs w:val="20"/>
        </w:rPr>
        <w:t>Recommendations:</w:t>
      </w:r>
    </w:p>
    <w:p w14:paraId="463642BC" w14:textId="74649811" w:rsidR="008913DF" w:rsidRDefault="008913DF" w:rsidP="00E8122F">
      <w:pPr>
        <w:spacing w:after="0"/>
        <w:ind w:left="270"/>
        <w:rPr>
          <w:sz w:val="20"/>
          <w:szCs w:val="20"/>
        </w:rPr>
      </w:pPr>
    </w:p>
    <w:p w14:paraId="04F2AD4F" w14:textId="1887A891" w:rsidR="008913DF" w:rsidRPr="008913DF" w:rsidRDefault="008913DF" w:rsidP="008913DF">
      <w:pPr>
        <w:spacing w:after="0"/>
        <w:ind w:left="270"/>
        <w:rPr>
          <w:sz w:val="20"/>
          <w:szCs w:val="20"/>
        </w:rPr>
      </w:pPr>
      <w:r>
        <w:rPr>
          <w:sz w:val="20"/>
          <w:szCs w:val="20"/>
        </w:rPr>
        <w:t xml:space="preserve">a. Revise </w:t>
      </w:r>
      <w:r w:rsidR="00D12925">
        <w:rPr>
          <w:sz w:val="20"/>
          <w:szCs w:val="20"/>
        </w:rPr>
        <w:t>S</w:t>
      </w:r>
      <w:r>
        <w:rPr>
          <w:sz w:val="20"/>
          <w:szCs w:val="20"/>
        </w:rPr>
        <w:t>ection 3.1, replacing “</w:t>
      </w:r>
      <w:r w:rsidRPr="008913DF">
        <w:rPr>
          <w:color w:val="0070C0"/>
          <w:sz w:val="20"/>
          <w:szCs w:val="20"/>
        </w:rPr>
        <w:t>The operations in bold are required and MUST occur in every successful filing as long as sending and receiving MDEs are implemented in separate systems</w:t>
      </w:r>
      <w:r>
        <w:rPr>
          <w:sz w:val="20"/>
          <w:szCs w:val="20"/>
        </w:rPr>
        <w:t>” with “</w:t>
      </w:r>
      <w:r w:rsidRPr="00E14708">
        <w:rPr>
          <w:color w:val="C45911" w:themeColor="accent2" w:themeShade="BF"/>
          <w:sz w:val="20"/>
          <w:szCs w:val="20"/>
        </w:rPr>
        <w:t xml:space="preserve">The ReviewFiling and RecordFiling operations are required in a complete ECF 4.1 system as prescribed in Section 2.2. </w:t>
      </w:r>
      <w:r>
        <w:rPr>
          <w:color w:val="C45911" w:themeColor="accent2" w:themeShade="BF"/>
          <w:sz w:val="20"/>
          <w:szCs w:val="20"/>
        </w:rPr>
        <w:t>However, when the RecordFiling operation has been implemented within the same system as the ReviewFiling operation, then the RecordFiling operation need not be provided in an ECF 4.1 compliant manner.</w:t>
      </w:r>
      <w:r>
        <w:rPr>
          <w:sz w:val="20"/>
          <w:szCs w:val="20"/>
        </w:rPr>
        <w:t>”</w:t>
      </w:r>
    </w:p>
    <w:p w14:paraId="522AA8A7" w14:textId="6CEF7228" w:rsidR="008913DF" w:rsidRDefault="008913DF" w:rsidP="00E8122F">
      <w:pPr>
        <w:spacing w:after="0"/>
        <w:ind w:left="270"/>
        <w:rPr>
          <w:sz w:val="20"/>
          <w:szCs w:val="20"/>
        </w:rPr>
      </w:pPr>
    </w:p>
    <w:p w14:paraId="7D3C8FDE" w14:textId="070E7D0E" w:rsidR="008913DF" w:rsidRDefault="00D12925" w:rsidP="00E8122F">
      <w:pPr>
        <w:spacing w:after="0"/>
        <w:ind w:left="270"/>
        <w:rPr>
          <w:sz w:val="20"/>
          <w:szCs w:val="20"/>
        </w:rPr>
      </w:pPr>
      <w:r>
        <w:rPr>
          <w:sz w:val="20"/>
          <w:szCs w:val="20"/>
        </w:rPr>
        <w:t>b. In Section 2.2, revised the word “must” to be all caps, i.e., “MUST”..</w:t>
      </w:r>
    </w:p>
    <w:p w14:paraId="5D441E51" w14:textId="77777777" w:rsidR="00096AEB" w:rsidRPr="009B5FAD" w:rsidRDefault="00096AEB" w:rsidP="00995D4C">
      <w:pPr>
        <w:spacing w:after="0"/>
        <w:rPr>
          <w:sz w:val="20"/>
          <w:szCs w:val="20"/>
        </w:rPr>
      </w:pPr>
    </w:p>
    <w:p w14:paraId="51D25F27" w14:textId="77777777" w:rsidR="00E8122F" w:rsidRDefault="00E8122F" w:rsidP="00CB4DAE">
      <w:pPr>
        <w:spacing w:after="0"/>
        <w:rPr>
          <w:sz w:val="20"/>
          <w:szCs w:val="20"/>
        </w:rPr>
      </w:pPr>
    </w:p>
    <w:p w14:paraId="11CCF3CB" w14:textId="5549C69B" w:rsidR="00565F72" w:rsidRDefault="00565F72" w:rsidP="00CB4DAE">
      <w:pPr>
        <w:spacing w:after="0"/>
        <w:rPr>
          <w:sz w:val="20"/>
          <w:szCs w:val="20"/>
        </w:rPr>
      </w:pPr>
      <w:r>
        <w:rPr>
          <w:sz w:val="20"/>
          <w:szCs w:val="20"/>
        </w:rPr>
        <w:t>1</w:t>
      </w:r>
      <w:r w:rsidR="00255A4E">
        <w:rPr>
          <w:sz w:val="20"/>
          <w:szCs w:val="20"/>
        </w:rPr>
        <w:t>5</w:t>
      </w:r>
      <w:r>
        <w:rPr>
          <w:sz w:val="20"/>
          <w:szCs w:val="20"/>
        </w:rPr>
        <w:t xml:space="preserve">. </w:t>
      </w:r>
      <w:r w:rsidR="0046010A">
        <w:rPr>
          <w:sz w:val="20"/>
          <w:szCs w:val="20"/>
        </w:rPr>
        <w:t>NotifyDocketingComplete</w:t>
      </w:r>
    </w:p>
    <w:p w14:paraId="53569CB7" w14:textId="3CC70667" w:rsidR="0046010A" w:rsidRDefault="0046010A" w:rsidP="00CB4DAE">
      <w:pPr>
        <w:spacing w:after="0"/>
        <w:rPr>
          <w:sz w:val="20"/>
          <w:szCs w:val="20"/>
        </w:rPr>
      </w:pPr>
    </w:p>
    <w:p w14:paraId="3D83D83D" w14:textId="43193E5F" w:rsidR="0046010A" w:rsidRDefault="0046010A" w:rsidP="00B91D47">
      <w:pPr>
        <w:spacing w:after="0"/>
        <w:ind w:left="270"/>
        <w:rPr>
          <w:sz w:val="20"/>
          <w:szCs w:val="20"/>
        </w:rPr>
      </w:pPr>
      <w:r>
        <w:rPr>
          <w:sz w:val="20"/>
          <w:szCs w:val="20"/>
        </w:rPr>
        <w:t>The presumption made in this feedback item is that RecordDocketingCallbackMessage is optional and therefore the NotifyDocketingComplete operation is also optional</w:t>
      </w:r>
      <w:r w:rsidR="008F187B">
        <w:rPr>
          <w:sz w:val="20"/>
          <w:szCs w:val="20"/>
        </w:rPr>
        <w:t xml:space="preserve"> (see prior issue </w:t>
      </w:r>
      <w:r w:rsidR="00B91D47">
        <w:rPr>
          <w:sz w:val="20"/>
          <w:szCs w:val="20"/>
        </w:rPr>
        <w:t xml:space="preserve">#10 </w:t>
      </w:r>
      <w:r w:rsidR="008F187B">
        <w:rPr>
          <w:sz w:val="20"/>
          <w:szCs w:val="20"/>
        </w:rPr>
        <w:t>above)</w:t>
      </w:r>
      <w:r>
        <w:rPr>
          <w:sz w:val="20"/>
          <w:szCs w:val="20"/>
        </w:rPr>
        <w:t>.</w:t>
      </w:r>
    </w:p>
    <w:p w14:paraId="3A4D62CD" w14:textId="4818F408" w:rsidR="0046010A" w:rsidRDefault="0046010A" w:rsidP="00B91D47">
      <w:pPr>
        <w:spacing w:after="0"/>
        <w:ind w:left="270"/>
        <w:rPr>
          <w:sz w:val="20"/>
          <w:szCs w:val="20"/>
        </w:rPr>
      </w:pPr>
    </w:p>
    <w:p w14:paraId="0056AEE1" w14:textId="4AC1FFD8" w:rsidR="0046010A" w:rsidRDefault="0046010A" w:rsidP="00B91D47">
      <w:pPr>
        <w:spacing w:after="0"/>
        <w:ind w:left="270"/>
        <w:rPr>
          <w:sz w:val="20"/>
          <w:szCs w:val="20"/>
        </w:rPr>
      </w:pPr>
      <w:r>
        <w:rPr>
          <w:sz w:val="20"/>
          <w:szCs w:val="20"/>
        </w:rPr>
        <w:t xml:space="preserve">In Section 3.2 Business Rules, subsection 3.2.7 NotifyDocketingComplete, </w:t>
      </w:r>
      <w:r w:rsidR="008F187B">
        <w:rPr>
          <w:sz w:val="20"/>
          <w:szCs w:val="20"/>
        </w:rPr>
        <w:t>the following</w:t>
      </w:r>
      <w:r>
        <w:rPr>
          <w:sz w:val="20"/>
          <w:szCs w:val="20"/>
        </w:rPr>
        <w:t xml:space="preserve"> paragraph is provided:</w:t>
      </w:r>
    </w:p>
    <w:p w14:paraId="5B7688BE" w14:textId="274BDBCA" w:rsidR="0046010A" w:rsidRPr="0046010A" w:rsidRDefault="0046010A" w:rsidP="00B91D47">
      <w:pPr>
        <w:spacing w:after="0"/>
        <w:ind w:left="270"/>
        <w:rPr>
          <w:color w:val="0070C0"/>
          <w:sz w:val="20"/>
          <w:szCs w:val="20"/>
        </w:rPr>
      </w:pPr>
      <w:r w:rsidRPr="0046010A">
        <w:rPr>
          <w:color w:val="0070C0"/>
          <w:sz w:val="20"/>
          <w:szCs w:val="20"/>
        </w:rPr>
        <w:t>If the &lt;RequireAsynchronousResponsesIndicator&gt; in the court policy is “true”, the Court Record MDE MUST invoke the NotifyDocketingComplete operation on the Filing Review MDE as a callback message to the RecordFiling operation to indicate whether the filing was accepted or rejected by the court record system.  If the Court Record MDE rejected the filing, an explanation MUST be provided.  If the Court Record MDE accepts the filing, the docketing information (e.g. date and time the document was entered into the court record, judge assigned, document identifiers and next court event scheduled) MUST be provided.  The Filing Review MDE responds synchronously with an acknowledgement of the callback message.</w:t>
      </w:r>
    </w:p>
    <w:p w14:paraId="43884707" w14:textId="243BA755" w:rsidR="00576077" w:rsidRDefault="00576077" w:rsidP="00B91D47">
      <w:pPr>
        <w:spacing w:after="0"/>
        <w:ind w:left="270"/>
        <w:rPr>
          <w:sz w:val="20"/>
          <w:szCs w:val="20"/>
        </w:rPr>
      </w:pPr>
    </w:p>
    <w:p w14:paraId="2CCA7778" w14:textId="2F302A29" w:rsidR="00566F1D" w:rsidRDefault="008F187B" w:rsidP="00B91D47">
      <w:pPr>
        <w:spacing w:after="0"/>
        <w:ind w:left="270"/>
        <w:rPr>
          <w:sz w:val="20"/>
          <w:szCs w:val="20"/>
        </w:rPr>
      </w:pPr>
      <w:r>
        <w:rPr>
          <w:sz w:val="20"/>
          <w:szCs w:val="20"/>
        </w:rPr>
        <w:t>Every time I read this, I feel something has been left out or left unsaid. Is this an accidental omission or intentional? Why?</w:t>
      </w:r>
    </w:p>
    <w:p w14:paraId="6969FD3D" w14:textId="642230A2" w:rsidR="008F187B" w:rsidRDefault="008F187B" w:rsidP="00B91D47">
      <w:pPr>
        <w:spacing w:after="0"/>
        <w:ind w:left="270"/>
        <w:rPr>
          <w:sz w:val="20"/>
          <w:szCs w:val="20"/>
        </w:rPr>
      </w:pPr>
    </w:p>
    <w:p w14:paraId="0EB0B2A3" w14:textId="25FEDC46" w:rsidR="008F187B" w:rsidRDefault="008F187B" w:rsidP="00B91D47">
      <w:pPr>
        <w:spacing w:after="0"/>
        <w:ind w:left="270"/>
        <w:rPr>
          <w:sz w:val="20"/>
          <w:szCs w:val="20"/>
        </w:rPr>
      </w:pPr>
      <w:r>
        <w:rPr>
          <w:sz w:val="20"/>
          <w:szCs w:val="20"/>
        </w:rPr>
        <w:t>To remove this uncertainty, I propose</w:t>
      </w:r>
      <w:r w:rsidR="00721160">
        <w:rPr>
          <w:sz w:val="20"/>
          <w:szCs w:val="20"/>
        </w:rPr>
        <w:t>, at a minimum,</w:t>
      </w:r>
      <w:r>
        <w:rPr>
          <w:sz w:val="20"/>
          <w:szCs w:val="20"/>
        </w:rPr>
        <w:t xml:space="preserve"> the following revision:</w:t>
      </w:r>
    </w:p>
    <w:p w14:paraId="013C88F2" w14:textId="77777777" w:rsidR="008F187B" w:rsidRDefault="008F187B" w:rsidP="00B91D47">
      <w:pPr>
        <w:spacing w:after="0"/>
        <w:ind w:left="270"/>
        <w:rPr>
          <w:sz w:val="20"/>
          <w:szCs w:val="20"/>
        </w:rPr>
      </w:pPr>
    </w:p>
    <w:p w14:paraId="1BEADDFF" w14:textId="109995BF" w:rsidR="00566F1D" w:rsidRPr="0046010A" w:rsidRDefault="00566F1D" w:rsidP="00B91D47">
      <w:pPr>
        <w:spacing w:after="0"/>
        <w:ind w:left="270"/>
        <w:rPr>
          <w:color w:val="0070C0"/>
          <w:sz w:val="20"/>
          <w:szCs w:val="20"/>
        </w:rPr>
      </w:pPr>
      <w:r w:rsidRPr="0046010A">
        <w:rPr>
          <w:color w:val="0070C0"/>
          <w:sz w:val="20"/>
          <w:szCs w:val="20"/>
        </w:rPr>
        <w:t>If the &lt;RequireAsynchronousResponsesIndicator&gt; in the court policy is “true”, the Court Record MDE MUST invoke the NotifyDocketingComplete operation on the Filing Review MDE as a callback message to the RecordFiling operation to indicate whether the filing was accepted or rejected by the court record system</w:t>
      </w:r>
      <w:r>
        <w:rPr>
          <w:color w:val="C00000"/>
          <w:sz w:val="20"/>
          <w:szCs w:val="20"/>
        </w:rPr>
        <w:t>, otherwise the asynchronous callback message is optional</w:t>
      </w:r>
      <w:r w:rsidRPr="0046010A">
        <w:rPr>
          <w:color w:val="0070C0"/>
          <w:sz w:val="20"/>
          <w:szCs w:val="20"/>
        </w:rPr>
        <w:t>.  If the Court Record MDE rejected the filing, an explanation MUST be provided.  If the Court Record MDE accepts the filing, the docketing information (e.g. date and time the document was entered into the court record, judge assigned, document identifiers and next court event scheduled) MUST be provided.  The Filing Review MDE responds synchronously with an acknowledgement of the callback message.</w:t>
      </w:r>
    </w:p>
    <w:p w14:paraId="731B0E06" w14:textId="77777777" w:rsidR="00566F1D" w:rsidRDefault="00566F1D" w:rsidP="00B91D47">
      <w:pPr>
        <w:spacing w:after="0"/>
        <w:ind w:left="270"/>
        <w:rPr>
          <w:sz w:val="20"/>
          <w:szCs w:val="20"/>
        </w:rPr>
      </w:pPr>
    </w:p>
    <w:p w14:paraId="790AA881" w14:textId="62F27BE3" w:rsidR="008F187B" w:rsidRDefault="007A322E" w:rsidP="00B91D47">
      <w:pPr>
        <w:spacing w:after="0"/>
        <w:ind w:left="270"/>
        <w:rPr>
          <w:sz w:val="20"/>
          <w:szCs w:val="20"/>
        </w:rPr>
      </w:pPr>
      <w:r>
        <w:rPr>
          <w:sz w:val="20"/>
          <w:szCs w:val="20"/>
        </w:rPr>
        <w:t xml:space="preserve">Unpacking this section into multiple paragraphs </w:t>
      </w:r>
      <w:r w:rsidR="00EF3638">
        <w:rPr>
          <w:sz w:val="20"/>
          <w:szCs w:val="20"/>
        </w:rPr>
        <w:t xml:space="preserve">(e.g., one for each significant idea presented) </w:t>
      </w:r>
      <w:r>
        <w:rPr>
          <w:sz w:val="20"/>
          <w:szCs w:val="20"/>
        </w:rPr>
        <w:t>may facilitate readability and understanding. Consider:</w:t>
      </w:r>
    </w:p>
    <w:p w14:paraId="6C149A50" w14:textId="6D70D616" w:rsidR="007A322E" w:rsidRDefault="007A322E" w:rsidP="00B91D47">
      <w:pPr>
        <w:spacing w:after="0"/>
        <w:ind w:left="270"/>
        <w:rPr>
          <w:sz w:val="20"/>
          <w:szCs w:val="20"/>
        </w:rPr>
      </w:pPr>
    </w:p>
    <w:p w14:paraId="72F1D6E1" w14:textId="5E6A3832" w:rsidR="007A322E" w:rsidRPr="00C61485" w:rsidRDefault="007A322E" w:rsidP="00B91D47">
      <w:pPr>
        <w:spacing w:after="0"/>
        <w:ind w:left="270"/>
        <w:rPr>
          <w:color w:val="C45911" w:themeColor="accent2" w:themeShade="BF"/>
          <w:sz w:val="20"/>
          <w:szCs w:val="20"/>
        </w:rPr>
      </w:pPr>
      <w:bookmarkStart w:id="0" w:name="_Hlk128034720"/>
      <w:r>
        <w:rPr>
          <w:color w:val="C45911" w:themeColor="accent2" w:themeShade="BF"/>
          <w:sz w:val="20"/>
          <w:szCs w:val="20"/>
        </w:rPr>
        <w:t>Record</w:t>
      </w:r>
      <w:r w:rsidRPr="00C61485">
        <w:rPr>
          <w:color w:val="C45911" w:themeColor="accent2" w:themeShade="BF"/>
          <w:sz w:val="20"/>
          <w:szCs w:val="20"/>
        </w:rPr>
        <w:t>DocketingC</w:t>
      </w:r>
      <w:r>
        <w:rPr>
          <w:color w:val="C45911" w:themeColor="accent2" w:themeShade="BF"/>
          <w:sz w:val="20"/>
          <w:szCs w:val="20"/>
        </w:rPr>
        <w:t>allbackMessage</w:t>
      </w:r>
      <w:r w:rsidRPr="00C61485">
        <w:rPr>
          <w:color w:val="C45911" w:themeColor="accent2" w:themeShade="BF"/>
          <w:sz w:val="20"/>
          <w:szCs w:val="20"/>
        </w:rPr>
        <w:t xml:space="preserve"> </w:t>
      </w:r>
      <w:r w:rsidR="00F93FC3">
        <w:rPr>
          <w:color w:val="C45911" w:themeColor="accent2" w:themeShade="BF"/>
          <w:sz w:val="20"/>
          <w:szCs w:val="20"/>
        </w:rPr>
        <w:t>MAY</w:t>
      </w:r>
      <w:r w:rsidRPr="00C61485">
        <w:rPr>
          <w:color w:val="C45911" w:themeColor="accent2" w:themeShade="BF"/>
          <w:sz w:val="20"/>
          <w:szCs w:val="20"/>
        </w:rPr>
        <w:t xml:space="preserve"> </w:t>
      </w:r>
      <w:r>
        <w:rPr>
          <w:color w:val="C45911" w:themeColor="accent2" w:themeShade="BF"/>
          <w:sz w:val="20"/>
          <w:szCs w:val="20"/>
        </w:rPr>
        <w:t xml:space="preserve">be </w:t>
      </w:r>
      <w:r w:rsidRPr="00C61485">
        <w:rPr>
          <w:color w:val="C45911" w:themeColor="accent2" w:themeShade="BF"/>
          <w:sz w:val="20"/>
          <w:szCs w:val="20"/>
        </w:rPr>
        <w:t xml:space="preserve">provided as a callback message </w:t>
      </w:r>
      <w:r>
        <w:rPr>
          <w:color w:val="C45911" w:themeColor="accent2" w:themeShade="BF"/>
          <w:sz w:val="20"/>
          <w:szCs w:val="20"/>
        </w:rPr>
        <w:t>by</w:t>
      </w:r>
      <w:r w:rsidRPr="00C61485">
        <w:rPr>
          <w:color w:val="C45911" w:themeColor="accent2" w:themeShade="BF"/>
          <w:sz w:val="20"/>
          <w:szCs w:val="20"/>
        </w:rPr>
        <w:t xml:space="preserve"> the Record</w:t>
      </w:r>
      <w:r w:rsidR="00E642B8">
        <w:rPr>
          <w:color w:val="C45911" w:themeColor="accent2" w:themeShade="BF"/>
          <w:sz w:val="20"/>
          <w:szCs w:val="20"/>
        </w:rPr>
        <w:t xml:space="preserve"> </w:t>
      </w:r>
      <w:r w:rsidRPr="00C61485">
        <w:rPr>
          <w:color w:val="C45911" w:themeColor="accent2" w:themeShade="BF"/>
          <w:sz w:val="20"/>
          <w:szCs w:val="20"/>
        </w:rPr>
        <w:t xml:space="preserve">Filing </w:t>
      </w:r>
      <w:r>
        <w:rPr>
          <w:color w:val="C45911" w:themeColor="accent2" w:themeShade="BF"/>
          <w:sz w:val="20"/>
          <w:szCs w:val="20"/>
        </w:rPr>
        <w:t>MDE to the Filing</w:t>
      </w:r>
      <w:r w:rsidR="00E642B8">
        <w:rPr>
          <w:color w:val="C45911" w:themeColor="accent2" w:themeShade="BF"/>
          <w:sz w:val="20"/>
          <w:szCs w:val="20"/>
        </w:rPr>
        <w:t xml:space="preserve"> </w:t>
      </w:r>
      <w:r>
        <w:rPr>
          <w:color w:val="C45911" w:themeColor="accent2" w:themeShade="BF"/>
          <w:sz w:val="20"/>
          <w:szCs w:val="20"/>
        </w:rPr>
        <w:t>Review MDE</w:t>
      </w:r>
      <w:r w:rsidRPr="00C61485">
        <w:rPr>
          <w:color w:val="C45911" w:themeColor="accent2" w:themeShade="BF"/>
          <w:sz w:val="20"/>
          <w:szCs w:val="20"/>
        </w:rPr>
        <w:t xml:space="preserve"> to indicate whether the filing was accepted or rejected by the court system.</w:t>
      </w:r>
      <w:r>
        <w:rPr>
          <w:color w:val="C45911" w:themeColor="accent2" w:themeShade="BF"/>
          <w:sz w:val="20"/>
          <w:szCs w:val="20"/>
        </w:rPr>
        <w:t xml:space="preserve"> T</w:t>
      </w:r>
      <w:r w:rsidRPr="00C61485">
        <w:rPr>
          <w:color w:val="C45911" w:themeColor="accent2" w:themeShade="BF"/>
          <w:sz w:val="20"/>
          <w:szCs w:val="20"/>
        </w:rPr>
        <w:t xml:space="preserve">he Filing Review MDE responds synchronously with an acknowledgement of </w:t>
      </w:r>
      <w:r>
        <w:rPr>
          <w:color w:val="C45911" w:themeColor="accent2" w:themeShade="BF"/>
          <w:sz w:val="20"/>
          <w:szCs w:val="20"/>
        </w:rPr>
        <w:t>any</w:t>
      </w:r>
      <w:r w:rsidRPr="00C61485">
        <w:rPr>
          <w:color w:val="C45911" w:themeColor="accent2" w:themeShade="BF"/>
          <w:sz w:val="20"/>
          <w:szCs w:val="20"/>
        </w:rPr>
        <w:t xml:space="preserve"> callback message</w:t>
      </w:r>
      <w:r>
        <w:rPr>
          <w:color w:val="C45911" w:themeColor="accent2" w:themeShade="BF"/>
          <w:sz w:val="20"/>
          <w:szCs w:val="20"/>
        </w:rPr>
        <w:t xml:space="preserve"> received</w:t>
      </w:r>
      <w:r w:rsidRPr="00C61485">
        <w:rPr>
          <w:color w:val="C45911" w:themeColor="accent2" w:themeShade="BF"/>
          <w:sz w:val="20"/>
          <w:szCs w:val="20"/>
        </w:rPr>
        <w:t>.</w:t>
      </w:r>
    </w:p>
    <w:p w14:paraId="42CD6F32" w14:textId="77777777" w:rsidR="007A322E" w:rsidRDefault="007A322E" w:rsidP="00B91D47">
      <w:pPr>
        <w:spacing w:after="0"/>
        <w:ind w:left="270"/>
        <w:rPr>
          <w:color w:val="C45911" w:themeColor="accent2" w:themeShade="BF"/>
          <w:sz w:val="20"/>
          <w:szCs w:val="20"/>
        </w:rPr>
      </w:pPr>
    </w:p>
    <w:p w14:paraId="5E2FBBEF" w14:textId="77777777" w:rsidR="007A322E" w:rsidRDefault="007A322E" w:rsidP="00B91D47">
      <w:pPr>
        <w:spacing w:after="0"/>
        <w:ind w:left="270"/>
        <w:rPr>
          <w:color w:val="C45911" w:themeColor="accent2" w:themeShade="BF"/>
          <w:sz w:val="20"/>
          <w:szCs w:val="20"/>
        </w:rPr>
      </w:pPr>
      <w:r>
        <w:rPr>
          <w:color w:val="C45911" w:themeColor="accent2" w:themeShade="BF"/>
          <w:sz w:val="20"/>
          <w:szCs w:val="20"/>
        </w:rPr>
        <w:t>When</w:t>
      </w:r>
      <w:r w:rsidRPr="00C61485">
        <w:rPr>
          <w:color w:val="C45911" w:themeColor="accent2" w:themeShade="BF"/>
          <w:sz w:val="20"/>
          <w:szCs w:val="20"/>
        </w:rPr>
        <w:t xml:space="preserve"> the &lt;RequireAsynchronousResponsesIndicator&gt; in the court policy is “true”, the Court Record MDE MUST invoke the NotifyDocketingComplete operation on the Filing Review MDE</w:t>
      </w:r>
      <w:r>
        <w:rPr>
          <w:color w:val="C45911" w:themeColor="accent2" w:themeShade="BF"/>
          <w:sz w:val="20"/>
          <w:szCs w:val="20"/>
        </w:rPr>
        <w:t xml:space="preserve">, otherwise the callback message is optional. </w:t>
      </w:r>
    </w:p>
    <w:p w14:paraId="6849B9CE" w14:textId="77777777" w:rsidR="007A322E" w:rsidRPr="00C61485" w:rsidRDefault="007A322E" w:rsidP="00B91D47">
      <w:pPr>
        <w:spacing w:after="0"/>
        <w:ind w:left="270"/>
        <w:rPr>
          <w:color w:val="C45911" w:themeColor="accent2" w:themeShade="BF"/>
          <w:sz w:val="20"/>
          <w:szCs w:val="20"/>
        </w:rPr>
      </w:pPr>
    </w:p>
    <w:p w14:paraId="6F6A08F2" w14:textId="2F0BC1CF" w:rsidR="007A322E" w:rsidRDefault="007A322E" w:rsidP="00B91D47">
      <w:pPr>
        <w:spacing w:after="0"/>
        <w:ind w:left="270"/>
        <w:rPr>
          <w:color w:val="C45911" w:themeColor="accent2" w:themeShade="BF"/>
          <w:sz w:val="20"/>
          <w:szCs w:val="20"/>
        </w:rPr>
      </w:pPr>
      <w:r w:rsidRPr="00C61485">
        <w:rPr>
          <w:color w:val="C45911" w:themeColor="accent2" w:themeShade="BF"/>
          <w:sz w:val="20"/>
          <w:szCs w:val="20"/>
        </w:rPr>
        <w:t>If the Court Record MDE rejected the filing, an explanation MUST be provided</w:t>
      </w:r>
      <w:r>
        <w:rPr>
          <w:color w:val="C45911" w:themeColor="accent2" w:themeShade="BF"/>
          <w:sz w:val="20"/>
          <w:szCs w:val="20"/>
        </w:rPr>
        <w:t xml:space="preserve"> in the callback message when provided to F</w:t>
      </w:r>
      <w:r w:rsidR="00C76C53">
        <w:rPr>
          <w:color w:val="C45911" w:themeColor="accent2" w:themeShade="BF"/>
          <w:sz w:val="20"/>
          <w:szCs w:val="20"/>
        </w:rPr>
        <w:t xml:space="preserve">iling </w:t>
      </w:r>
      <w:r>
        <w:rPr>
          <w:color w:val="C45911" w:themeColor="accent2" w:themeShade="BF"/>
          <w:sz w:val="20"/>
          <w:szCs w:val="20"/>
        </w:rPr>
        <w:t>R</w:t>
      </w:r>
      <w:r w:rsidR="00C76C53">
        <w:rPr>
          <w:color w:val="C45911" w:themeColor="accent2" w:themeShade="BF"/>
          <w:sz w:val="20"/>
          <w:szCs w:val="20"/>
        </w:rPr>
        <w:t xml:space="preserve">eview </w:t>
      </w:r>
      <w:r>
        <w:rPr>
          <w:color w:val="C45911" w:themeColor="accent2" w:themeShade="BF"/>
          <w:sz w:val="20"/>
          <w:szCs w:val="20"/>
        </w:rPr>
        <w:t>MDE</w:t>
      </w:r>
      <w:r w:rsidRPr="00C61485">
        <w:rPr>
          <w:color w:val="C45911" w:themeColor="accent2" w:themeShade="BF"/>
          <w:sz w:val="20"/>
          <w:szCs w:val="20"/>
        </w:rPr>
        <w:t>.  If the Court Record MDE accepts the filing, the docketing information (e.g.</w:t>
      </w:r>
      <w:r>
        <w:rPr>
          <w:color w:val="C45911" w:themeColor="accent2" w:themeShade="BF"/>
          <w:sz w:val="20"/>
          <w:szCs w:val="20"/>
        </w:rPr>
        <w:t>,</w:t>
      </w:r>
      <w:r w:rsidRPr="00C61485">
        <w:rPr>
          <w:color w:val="C45911" w:themeColor="accent2" w:themeShade="BF"/>
          <w:sz w:val="20"/>
          <w:szCs w:val="20"/>
        </w:rPr>
        <w:t xml:space="preserve"> date and time the document was entered into the court record, judge assigned, document identifiers and next court event scheduled) MUST be provided</w:t>
      </w:r>
      <w:r>
        <w:rPr>
          <w:color w:val="C45911" w:themeColor="accent2" w:themeShade="BF"/>
          <w:sz w:val="20"/>
          <w:szCs w:val="20"/>
        </w:rPr>
        <w:t xml:space="preserve"> when a callback message is tendered</w:t>
      </w:r>
      <w:r w:rsidRPr="00C61485">
        <w:rPr>
          <w:color w:val="C45911" w:themeColor="accent2" w:themeShade="BF"/>
          <w:sz w:val="20"/>
          <w:szCs w:val="20"/>
        </w:rPr>
        <w:t xml:space="preserve">. </w:t>
      </w:r>
    </w:p>
    <w:p w14:paraId="7116ECD3" w14:textId="567BBAD8" w:rsidR="00EF3638" w:rsidRDefault="00EF3638" w:rsidP="00B91D47">
      <w:pPr>
        <w:spacing w:after="0"/>
        <w:ind w:left="270"/>
        <w:rPr>
          <w:color w:val="C45911" w:themeColor="accent2" w:themeShade="BF"/>
          <w:sz w:val="20"/>
          <w:szCs w:val="20"/>
        </w:rPr>
      </w:pPr>
    </w:p>
    <w:p w14:paraId="63BBE475" w14:textId="001F2000" w:rsidR="00EF3638" w:rsidRDefault="00EF3638" w:rsidP="00B91D47">
      <w:pPr>
        <w:spacing w:after="0"/>
        <w:ind w:left="270"/>
        <w:rPr>
          <w:sz w:val="20"/>
          <w:szCs w:val="20"/>
        </w:rPr>
      </w:pPr>
      <w:r>
        <w:rPr>
          <w:sz w:val="20"/>
          <w:szCs w:val="20"/>
        </w:rPr>
        <w:t>Note: other additional possible edits are identified in other sections of this document</w:t>
      </w:r>
      <w:r w:rsidR="0083496C">
        <w:rPr>
          <w:sz w:val="20"/>
          <w:szCs w:val="20"/>
        </w:rPr>
        <w:t xml:space="preserve"> (e.g., #19 c.1, etc.)</w:t>
      </w:r>
      <w:r>
        <w:rPr>
          <w:sz w:val="20"/>
          <w:szCs w:val="20"/>
        </w:rPr>
        <w:t>.</w:t>
      </w:r>
    </w:p>
    <w:p w14:paraId="0878A202" w14:textId="1F2CE2C9" w:rsidR="00EF3638" w:rsidRDefault="00EF3638" w:rsidP="00B91D47">
      <w:pPr>
        <w:spacing w:after="0"/>
        <w:ind w:left="270"/>
        <w:rPr>
          <w:sz w:val="20"/>
          <w:szCs w:val="20"/>
        </w:rPr>
      </w:pPr>
    </w:p>
    <w:p w14:paraId="1804FEC8" w14:textId="3BD64D7B" w:rsidR="00EF3638" w:rsidRPr="00EF3638" w:rsidRDefault="00EF3638" w:rsidP="00B91D47">
      <w:pPr>
        <w:spacing w:after="0"/>
        <w:ind w:left="270"/>
        <w:rPr>
          <w:sz w:val="20"/>
          <w:szCs w:val="20"/>
        </w:rPr>
      </w:pPr>
      <w:r>
        <w:rPr>
          <w:sz w:val="20"/>
          <w:szCs w:val="20"/>
        </w:rPr>
        <w:t>Recommendation: Revise section 3.2.7 for clarity and accuracy.</w:t>
      </w:r>
    </w:p>
    <w:bookmarkEnd w:id="0"/>
    <w:p w14:paraId="0164EBD7" w14:textId="0F61E02A" w:rsidR="008F187B" w:rsidRDefault="008F187B" w:rsidP="008F187B">
      <w:pPr>
        <w:spacing w:after="0"/>
        <w:rPr>
          <w:sz w:val="20"/>
          <w:szCs w:val="20"/>
        </w:rPr>
      </w:pPr>
    </w:p>
    <w:p w14:paraId="3632C9B5" w14:textId="77777777" w:rsidR="00D51D8D" w:rsidRDefault="00D51D8D" w:rsidP="00CB4DAE">
      <w:pPr>
        <w:spacing w:after="0"/>
        <w:rPr>
          <w:sz w:val="20"/>
          <w:szCs w:val="20"/>
        </w:rPr>
      </w:pPr>
    </w:p>
    <w:p w14:paraId="62EF2F83" w14:textId="7A967998" w:rsidR="00AE5DD3" w:rsidRDefault="00AE5DD3" w:rsidP="0098351E">
      <w:pPr>
        <w:spacing w:after="0"/>
        <w:rPr>
          <w:sz w:val="20"/>
          <w:szCs w:val="20"/>
        </w:rPr>
      </w:pPr>
      <w:r>
        <w:rPr>
          <w:sz w:val="20"/>
          <w:szCs w:val="20"/>
        </w:rPr>
        <w:t>1</w:t>
      </w:r>
      <w:r w:rsidR="00255A4E">
        <w:rPr>
          <w:sz w:val="20"/>
          <w:szCs w:val="20"/>
        </w:rPr>
        <w:t>6</w:t>
      </w:r>
      <w:r>
        <w:rPr>
          <w:sz w:val="20"/>
          <w:szCs w:val="20"/>
        </w:rPr>
        <w:t xml:space="preserve">. </w:t>
      </w:r>
      <w:r w:rsidR="00E2458E">
        <w:rPr>
          <w:sz w:val="20"/>
          <w:szCs w:val="20"/>
        </w:rPr>
        <w:t>NotifyFilingReviewComplete</w:t>
      </w:r>
    </w:p>
    <w:p w14:paraId="29F71388" w14:textId="06B4FFA2" w:rsidR="00E2458E" w:rsidRDefault="00E2458E" w:rsidP="0098351E">
      <w:pPr>
        <w:spacing w:after="0"/>
        <w:rPr>
          <w:sz w:val="20"/>
          <w:szCs w:val="20"/>
        </w:rPr>
      </w:pPr>
    </w:p>
    <w:p w14:paraId="68BF984E" w14:textId="376F0BF2" w:rsidR="00E2458E" w:rsidRPr="00E2458E" w:rsidRDefault="00E2458E" w:rsidP="00907FBD">
      <w:pPr>
        <w:spacing w:after="0"/>
        <w:ind w:left="270"/>
        <w:rPr>
          <w:sz w:val="20"/>
          <w:szCs w:val="20"/>
        </w:rPr>
      </w:pPr>
      <w:r w:rsidRPr="00E2458E">
        <w:rPr>
          <w:sz w:val="20"/>
          <w:szCs w:val="20"/>
        </w:rPr>
        <w:t>Section 3.2.8 ‘NotifyFilingReviewComplete’ states:</w:t>
      </w:r>
    </w:p>
    <w:p w14:paraId="47E9649C" w14:textId="3A3DDAA6" w:rsidR="00E2458E" w:rsidRDefault="00E2458E" w:rsidP="00907FBD">
      <w:pPr>
        <w:spacing w:after="0"/>
        <w:ind w:left="270"/>
        <w:rPr>
          <w:color w:val="0070C0"/>
          <w:sz w:val="20"/>
          <w:szCs w:val="20"/>
        </w:rPr>
      </w:pPr>
      <w:r w:rsidRPr="00E2458E">
        <w:rPr>
          <w:color w:val="0070C0"/>
          <w:sz w:val="20"/>
          <w:szCs w:val="20"/>
        </w:rPr>
        <w:t>If the clerk rejects the filings or the Filing Review MDE receives the NotifyDocketingComplete message and the &lt;RequireAsynchronousResponsesIndicator&gt; in the court policy is “true”, the Filing Review MDE MUST invoke the NotifyFilingReviewComplete operation on the Filing Assembly MDE as a callback message to the ReviewFiling operation to indicate whether the filing was accepted and docketed by the clerk and court record system.  The operation MAY return the filed documents or links to the documents, but MUST include the [FIPS 180-4] SHA 256 document hash, a condensed representation of a document intended to protect document integrity.</w:t>
      </w:r>
    </w:p>
    <w:p w14:paraId="71F9E65F" w14:textId="77777777" w:rsidR="00E2458E" w:rsidRPr="00E2458E" w:rsidRDefault="00E2458E" w:rsidP="00907FBD">
      <w:pPr>
        <w:spacing w:after="0"/>
        <w:ind w:left="270"/>
        <w:rPr>
          <w:color w:val="0070C0"/>
          <w:sz w:val="20"/>
          <w:szCs w:val="20"/>
        </w:rPr>
      </w:pPr>
    </w:p>
    <w:p w14:paraId="3A2A0FA4" w14:textId="31198095" w:rsidR="00E2458E" w:rsidRDefault="00E2458E" w:rsidP="00907FBD">
      <w:pPr>
        <w:spacing w:after="0"/>
        <w:ind w:left="270"/>
        <w:rPr>
          <w:sz w:val="20"/>
          <w:szCs w:val="20"/>
        </w:rPr>
      </w:pPr>
      <w:r w:rsidRPr="00E2458E">
        <w:rPr>
          <w:color w:val="0070C0"/>
          <w:sz w:val="20"/>
          <w:szCs w:val="20"/>
        </w:rPr>
        <w:t>If the filing included a payment, and the filing was accepted by the clerk and court record system, a receipt for the payment MUST be included in the operation.  The Filing Assembly MDE responds synchronously with an acknowledgement of the callback message.</w:t>
      </w:r>
    </w:p>
    <w:p w14:paraId="3A669E62" w14:textId="0DD6EFAB" w:rsidR="00E2458E" w:rsidRDefault="00E2458E" w:rsidP="00907FBD">
      <w:pPr>
        <w:spacing w:after="0"/>
        <w:ind w:left="270"/>
        <w:rPr>
          <w:sz w:val="20"/>
          <w:szCs w:val="20"/>
        </w:rPr>
      </w:pPr>
    </w:p>
    <w:p w14:paraId="09B53357" w14:textId="4C4FCFEE" w:rsidR="00E2458E" w:rsidRDefault="00E2458E" w:rsidP="00907FBD">
      <w:pPr>
        <w:spacing w:after="0"/>
        <w:ind w:left="270"/>
        <w:rPr>
          <w:sz w:val="20"/>
          <w:szCs w:val="20"/>
        </w:rPr>
      </w:pPr>
      <w:r>
        <w:rPr>
          <w:sz w:val="20"/>
          <w:szCs w:val="20"/>
        </w:rPr>
        <w:t>The first sentence</w:t>
      </w:r>
      <w:r w:rsidR="002B7444">
        <w:rPr>
          <w:sz w:val="20"/>
          <w:szCs w:val="20"/>
        </w:rPr>
        <w:t>, in the first par</w:t>
      </w:r>
      <w:r w:rsidR="006079C5">
        <w:rPr>
          <w:sz w:val="20"/>
          <w:szCs w:val="20"/>
        </w:rPr>
        <w:t>a</w:t>
      </w:r>
      <w:r w:rsidR="002B7444">
        <w:rPr>
          <w:sz w:val="20"/>
          <w:szCs w:val="20"/>
        </w:rPr>
        <w:t>graph</w:t>
      </w:r>
      <w:r>
        <w:rPr>
          <w:sz w:val="20"/>
          <w:szCs w:val="20"/>
        </w:rPr>
        <w:t xml:space="preserve"> is not clear. It appears to prescribe two conditions upon which </w:t>
      </w:r>
      <w:r w:rsidR="008B6702">
        <w:rPr>
          <w:sz w:val="20"/>
          <w:szCs w:val="20"/>
        </w:rPr>
        <w:t>the callback message is required</w:t>
      </w:r>
      <w:r w:rsidR="002B7444">
        <w:rPr>
          <w:sz w:val="20"/>
          <w:szCs w:val="20"/>
        </w:rPr>
        <w:t xml:space="preserve"> to be provided to the FAMDE</w:t>
      </w:r>
      <w:r w:rsidR="008B6702">
        <w:rPr>
          <w:sz w:val="20"/>
          <w:szCs w:val="20"/>
        </w:rPr>
        <w:t>:</w:t>
      </w:r>
    </w:p>
    <w:p w14:paraId="64B7E4B8" w14:textId="77777777" w:rsidR="008B6702" w:rsidRDefault="008B6702" w:rsidP="00907FBD">
      <w:pPr>
        <w:spacing w:after="0"/>
        <w:ind w:left="270"/>
        <w:rPr>
          <w:sz w:val="20"/>
          <w:szCs w:val="20"/>
        </w:rPr>
      </w:pPr>
    </w:p>
    <w:p w14:paraId="67A76ED9" w14:textId="5DE78E0A" w:rsidR="008B6702" w:rsidRDefault="008B6702" w:rsidP="00907FBD">
      <w:pPr>
        <w:spacing w:after="0"/>
        <w:ind w:left="270"/>
        <w:rPr>
          <w:sz w:val="20"/>
          <w:szCs w:val="20"/>
        </w:rPr>
      </w:pPr>
      <w:r>
        <w:rPr>
          <w:sz w:val="20"/>
          <w:szCs w:val="20"/>
        </w:rPr>
        <w:t>1) when the clerk rejects the filings</w:t>
      </w:r>
    </w:p>
    <w:p w14:paraId="1740ED01" w14:textId="70E139B6" w:rsidR="008B6702" w:rsidRDefault="008B6702" w:rsidP="00907FBD">
      <w:pPr>
        <w:spacing w:after="0"/>
        <w:ind w:left="270" w:firstLine="720"/>
        <w:rPr>
          <w:sz w:val="20"/>
          <w:szCs w:val="20"/>
        </w:rPr>
      </w:pPr>
      <w:r>
        <w:rPr>
          <w:sz w:val="20"/>
          <w:szCs w:val="20"/>
        </w:rPr>
        <w:t>or</w:t>
      </w:r>
    </w:p>
    <w:p w14:paraId="6595BC4E" w14:textId="33CDA0A6" w:rsidR="008B6702" w:rsidRPr="002B7444" w:rsidRDefault="008B6702" w:rsidP="00907FBD">
      <w:pPr>
        <w:spacing w:after="0"/>
        <w:ind w:left="270"/>
        <w:rPr>
          <w:sz w:val="20"/>
          <w:szCs w:val="20"/>
        </w:rPr>
      </w:pPr>
      <w:r>
        <w:rPr>
          <w:sz w:val="20"/>
          <w:szCs w:val="20"/>
        </w:rPr>
        <w:t xml:space="preserve">2) when the </w:t>
      </w:r>
      <w:r w:rsidR="002B7444">
        <w:rPr>
          <w:sz w:val="20"/>
          <w:szCs w:val="20"/>
        </w:rPr>
        <w:t xml:space="preserve">FRMDE (which provides Court Policy) knows that </w:t>
      </w:r>
      <w:r w:rsidR="002B7444" w:rsidRPr="00E2458E">
        <w:rPr>
          <w:color w:val="0070C0"/>
          <w:sz w:val="20"/>
          <w:szCs w:val="20"/>
        </w:rPr>
        <w:t>&lt;RequireAsynchronousResponsesIndicator&gt;</w:t>
      </w:r>
      <w:r w:rsidR="002B7444">
        <w:rPr>
          <w:sz w:val="20"/>
          <w:szCs w:val="20"/>
        </w:rPr>
        <w:t xml:space="preserve"> in Court Policy is ‘true’ and upon receipt of a RecordDocketingCalbackMe</w:t>
      </w:r>
      <w:r w:rsidR="00D6316F">
        <w:rPr>
          <w:sz w:val="20"/>
          <w:szCs w:val="20"/>
        </w:rPr>
        <w:t>s</w:t>
      </w:r>
      <w:r w:rsidR="002B7444">
        <w:rPr>
          <w:sz w:val="20"/>
          <w:szCs w:val="20"/>
        </w:rPr>
        <w:t>sage (misstated as ‘NotifuyDocketingComplete message’).</w:t>
      </w:r>
    </w:p>
    <w:p w14:paraId="069B182B" w14:textId="07E0890E" w:rsidR="00E2458E" w:rsidRDefault="00E2458E" w:rsidP="00907FBD">
      <w:pPr>
        <w:spacing w:after="0"/>
        <w:ind w:left="270"/>
        <w:rPr>
          <w:sz w:val="20"/>
          <w:szCs w:val="20"/>
        </w:rPr>
      </w:pPr>
    </w:p>
    <w:p w14:paraId="4BF68A4B" w14:textId="6EDD5D20" w:rsidR="00B95243" w:rsidRDefault="00B95243" w:rsidP="00907FBD">
      <w:pPr>
        <w:spacing w:after="0"/>
        <w:ind w:left="270"/>
        <w:rPr>
          <w:sz w:val="20"/>
          <w:szCs w:val="20"/>
        </w:rPr>
      </w:pPr>
      <w:r>
        <w:rPr>
          <w:sz w:val="20"/>
          <w:szCs w:val="20"/>
        </w:rPr>
        <w:t>If I place parenthesis around the conditions as might be done in many programming languages, this sentence looks like:</w:t>
      </w:r>
    </w:p>
    <w:p w14:paraId="3A436325" w14:textId="77777777" w:rsidR="00B95243" w:rsidRDefault="00B95243" w:rsidP="00907FBD">
      <w:pPr>
        <w:spacing w:after="0"/>
        <w:ind w:left="270"/>
        <w:rPr>
          <w:sz w:val="20"/>
          <w:szCs w:val="20"/>
        </w:rPr>
      </w:pPr>
    </w:p>
    <w:p w14:paraId="25A6078B" w14:textId="625DB3FE" w:rsidR="00B95243" w:rsidRDefault="00B95243" w:rsidP="00907FBD">
      <w:pPr>
        <w:spacing w:after="0"/>
        <w:ind w:left="270"/>
        <w:rPr>
          <w:sz w:val="20"/>
          <w:szCs w:val="20"/>
        </w:rPr>
      </w:pPr>
      <w:r w:rsidRPr="00E2458E">
        <w:rPr>
          <w:color w:val="0070C0"/>
          <w:sz w:val="20"/>
          <w:szCs w:val="20"/>
        </w:rPr>
        <w:lastRenderedPageBreak/>
        <w:t xml:space="preserve">If </w:t>
      </w:r>
      <w:r w:rsidRPr="00B95243">
        <w:rPr>
          <w:color w:val="C00000"/>
          <w:sz w:val="20"/>
          <w:szCs w:val="20"/>
        </w:rPr>
        <w:t>(</w:t>
      </w:r>
      <w:r w:rsidRPr="00E2458E">
        <w:rPr>
          <w:color w:val="0070C0"/>
          <w:sz w:val="20"/>
          <w:szCs w:val="20"/>
        </w:rPr>
        <w:t>the clerk rejects the filings</w:t>
      </w:r>
      <w:r w:rsidRPr="00B95243">
        <w:rPr>
          <w:color w:val="C00000"/>
          <w:sz w:val="20"/>
          <w:szCs w:val="20"/>
        </w:rPr>
        <w:t>)</w:t>
      </w:r>
      <w:r w:rsidRPr="00E2458E">
        <w:rPr>
          <w:color w:val="0070C0"/>
          <w:sz w:val="20"/>
          <w:szCs w:val="20"/>
        </w:rPr>
        <w:t xml:space="preserve"> or </w:t>
      </w:r>
      <w:r>
        <w:rPr>
          <w:color w:val="C00000"/>
          <w:sz w:val="20"/>
          <w:szCs w:val="20"/>
        </w:rPr>
        <w:t xml:space="preserve">( </w:t>
      </w:r>
      <w:r w:rsidRPr="00B95243">
        <w:rPr>
          <w:color w:val="C00000"/>
          <w:sz w:val="20"/>
          <w:szCs w:val="20"/>
        </w:rPr>
        <w:t>(</w:t>
      </w:r>
      <w:r w:rsidRPr="00E2458E">
        <w:rPr>
          <w:color w:val="0070C0"/>
          <w:sz w:val="20"/>
          <w:szCs w:val="20"/>
        </w:rPr>
        <w:t>the Filing Review MDE receives the NotifyDocketingComplete message</w:t>
      </w:r>
      <w:r w:rsidR="002B70DF">
        <w:rPr>
          <w:color w:val="C00000"/>
          <w:sz w:val="20"/>
          <w:szCs w:val="20"/>
        </w:rPr>
        <w:t>)</w:t>
      </w:r>
      <w:r w:rsidRPr="00E2458E">
        <w:rPr>
          <w:color w:val="0070C0"/>
          <w:sz w:val="20"/>
          <w:szCs w:val="20"/>
        </w:rPr>
        <w:t xml:space="preserve"> and </w:t>
      </w:r>
      <w:r w:rsidR="002B70DF">
        <w:rPr>
          <w:color w:val="C00000"/>
          <w:sz w:val="20"/>
          <w:szCs w:val="20"/>
        </w:rPr>
        <w:t>(</w:t>
      </w:r>
      <w:r w:rsidRPr="00E2458E">
        <w:rPr>
          <w:color w:val="0070C0"/>
          <w:sz w:val="20"/>
          <w:szCs w:val="20"/>
        </w:rPr>
        <w:t>the &lt;RequireAsynchronousResponsesIndicator&gt; in the court policy is “true”</w:t>
      </w:r>
      <w:r w:rsidRPr="00B95243">
        <w:rPr>
          <w:color w:val="C00000"/>
          <w:sz w:val="20"/>
          <w:szCs w:val="20"/>
        </w:rPr>
        <w:t>)</w:t>
      </w:r>
      <w:r>
        <w:rPr>
          <w:color w:val="C00000"/>
          <w:sz w:val="20"/>
          <w:szCs w:val="20"/>
        </w:rPr>
        <w:t xml:space="preserve"> )</w:t>
      </w:r>
      <w:r w:rsidRPr="00E2458E">
        <w:rPr>
          <w:color w:val="0070C0"/>
          <w:sz w:val="20"/>
          <w:szCs w:val="20"/>
        </w:rPr>
        <w:t xml:space="preserve">, </w:t>
      </w:r>
      <w:r>
        <w:rPr>
          <w:color w:val="C00000"/>
          <w:sz w:val="20"/>
          <w:szCs w:val="20"/>
        </w:rPr>
        <w:t xml:space="preserve">then </w:t>
      </w:r>
      <w:r w:rsidRPr="00E2458E">
        <w:rPr>
          <w:color w:val="0070C0"/>
          <w:sz w:val="20"/>
          <w:szCs w:val="20"/>
        </w:rPr>
        <w:t xml:space="preserve">the Filing Review MDE MUST invoke the NotifyFilingReviewComplete operation on the Filing Assembly MDE as a callback message to the ReviewFiling operation to indicate whether the filing was accepted and docketed by the clerk and court record system.  </w:t>
      </w:r>
    </w:p>
    <w:p w14:paraId="63A17B7D" w14:textId="58FB7B71" w:rsidR="00E2458E" w:rsidRDefault="00E2458E" w:rsidP="00907FBD">
      <w:pPr>
        <w:spacing w:after="0"/>
        <w:ind w:left="270"/>
        <w:rPr>
          <w:sz w:val="20"/>
          <w:szCs w:val="20"/>
        </w:rPr>
      </w:pPr>
    </w:p>
    <w:p w14:paraId="2949636E" w14:textId="77777777" w:rsidR="002F2438" w:rsidRDefault="002F2438" w:rsidP="007B6027">
      <w:pPr>
        <w:spacing w:after="0"/>
        <w:rPr>
          <w:sz w:val="20"/>
          <w:szCs w:val="20"/>
        </w:rPr>
      </w:pPr>
    </w:p>
    <w:p w14:paraId="42BB798A" w14:textId="7F782E4D" w:rsidR="00B95243" w:rsidRDefault="00B95243" w:rsidP="00907FBD">
      <w:pPr>
        <w:spacing w:after="0"/>
        <w:ind w:left="270"/>
        <w:rPr>
          <w:sz w:val="20"/>
          <w:szCs w:val="20"/>
        </w:rPr>
      </w:pPr>
      <w:r>
        <w:rPr>
          <w:sz w:val="20"/>
          <w:szCs w:val="20"/>
        </w:rPr>
        <w:t>Alternative parentheticals are:</w:t>
      </w:r>
    </w:p>
    <w:p w14:paraId="40953AC8" w14:textId="77777777" w:rsidR="002F2438" w:rsidRDefault="002F2438" w:rsidP="00907FBD">
      <w:pPr>
        <w:spacing w:after="0"/>
        <w:ind w:left="270"/>
        <w:rPr>
          <w:sz w:val="20"/>
          <w:szCs w:val="20"/>
        </w:rPr>
      </w:pPr>
    </w:p>
    <w:p w14:paraId="58D27B36" w14:textId="3DF5D976" w:rsidR="00B95243" w:rsidRDefault="00B95243" w:rsidP="00907FBD">
      <w:pPr>
        <w:spacing w:after="0"/>
        <w:ind w:left="270"/>
        <w:rPr>
          <w:sz w:val="20"/>
          <w:szCs w:val="20"/>
        </w:rPr>
      </w:pPr>
      <w:r w:rsidRPr="00E2458E">
        <w:rPr>
          <w:color w:val="0070C0"/>
          <w:sz w:val="20"/>
          <w:szCs w:val="20"/>
        </w:rPr>
        <w:t xml:space="preserve">If </w:t>
      </w:r>
      <w:r>
        <w:rPr>
          <w:color w:val="C00000"/>
          <w:sz w:val="20"/>
          <w:szCs w:val="20"/>
        </w:rPr>
        <w:t>( (</w:t>
      </w:r>
      <w:r w:rsidRPr="00E2458E">
        <w:rPr>
          <w:color w:val="0070C0"/>
          <w:sz w:val="20"/>
          <w:szCs w:val="20"/>
        </w:rPr>
        <w:t>the clerk rejects the filings</w:t>
      </w:r>
      <w:r>
        <w:rPr>
          <w:color w:val="C00000"/>
          <w:sz w:val="20"/>
          <w:szCs w:val="20"/>
        </w:rPr>
        <w:t>)</w:t>
      </w:r>
      <w:r w:rsidRPr="00E2458E">
        <w:rPr>
          <w:color w:val="0070C0"/>
          <w:sz w:val="20"/>
          <w:szCs w:val="20"/>
        </w:rPr>
        <w:t xml:space="preserve"> or </w:t>
      </w:r>
      <w:r>
        <w:rPr>
          <w:color w:val="C00000"/>
          <w:sz w:val="20"/>
          <w:szCs w:val="20"/>
        </w:rPr>
        <w:t>(</w:t>
      </w:r>
      <w:r w:rsidRPr="00E2458E">
        <w:rPr>
          <w:color w:val="0070C0"/>
          <w:sz w:val="20"/>
          <w:szCs w:val="20"/>
        </w:rPr>
        <w:t>the Filing Review MDE receives the NotifyDocketingComplete message</w:t>
      </w:r>
      <w:r>
        <w:rPr>
          <w:color w:val="C00000"/>
          <w:sz w:val="20"/>
          <w:szCs w:val="20"/>
        </w:rPr>
        <w:t>) )</w:t>
      </w:r>
      <w:r w:rsidRPr="00E2458E">
        <w:rPr>
          <w:color w:val="0070C0"/>
          <w:sz w:val="20"/>
          <w:szCs w:val="20"/>
        </w:rPr>
        <w:t xml:space="preserve"> and </w:t>
      </w:r>
      <w:r>
        <w:rPr>
          <w:color w:val="C00000"/>
          <w:sz w:val="20"/>
          <w:szCs w:val="20"/>
        </w:rPr>
        <w:t>(</w:t>
      </w:r>
      <w:r w:rsidRPr="00E2458E">
        <w:rPr>
          <w:color w:val="0070C0"/>
          <w:sz w:val="20"/>
          <w:szCs w:val="20"/>
        </w:rPr>
        <w:t>the &lt;RequireAsynchronousResponsesIndicator&gt; in the court policy is “true”</w:t>
      </w:r>
      <w:r w:rsidRPr="00526B49">
        <w:rPr>
          <w:color w:val="C00000"/>
          <w:sz w:val="20"/>
          <w:szCs w:val="20"/>
        </w:rPr>
        <w:t>)</w:t>
      </w:r>
      <w:r w:rsidRPr="00E2458E">
        <w:rPr>
          <w:color w:val="0070C0"/>
          <w:sz w:val="20"/>
          <w:szCs w:val="20"/>
        </w:rPr>
        <w:t xml:space="preserve">, </w:t>
      </w:r>
      <w:r>
        <w:rPr>
          <w:color w:val="C00000"/>
          <w:sz w:val="20"/>
          <w:szCs w:val="20"/>
        </w:rPr>
        <w:t xml:space="preserve">then </w:t>
      </w:r>
      <w:r w:rsidRPr="00E2458E">
        <w:rPr>
          <w:color w:val="0070C0"/>
          <w:sz w:val="20"/>
          <w:szCs w:val="20"/>
        </w:rPr>
        <w:t xml:space="preserve">the Filing Review MDE MUST invoke the NotifyFilingReviewComplete operation on the Filing Assembly MDE as a callback message to the ReviewFiling operation to indicate whether the filing was accepted and docketed by the clerk and court record system.  </w:t>
      </w:r>
    </w:p>
    <w:p w14:paraId="3024BA0C" w14:textId="77777777" w:rsidR="002B70DF" w:rsidRDefault="002B70DF" w:rsidP="00907FBD">
      <w:pPr>
        <w:spacing w:after="0"/>
        <w:ind w:left="270"/>
        <w:rPr>
          <w:sz w:val="20"/>
          <w:szCs w:val="20"/>
        </w:rPr>
      </w:pPr>
    </w:p>
    <w:p w14:paraId="03B21C7D" w14:textId="2110B0D7" w:rsidR="00B95243" w:rsidRDefault="002B70DF" w:rsidP="00907FBD">
      <w:pPr>
        <w:spacing w:after="0"/>
        <w:ind w:left="270"/>
        <w:rPr>
          <w:sz w:val="20"/>
          <w:szCs w:val="20"/>
        </w:rPr>
      </w:pPr>
      <w:r>
        <w:rPr>
          <w:sz w:val="20"/>
          <w:szCs w:val="20"/>
        </w:rPr>
        <w:t>Which interpretation is correct is not clear.</w:t>
      </w:r>
    </w:p>
    <w:p w14:paraId="0DA2C3CC" w14:textId="27820156" w:rsidR="00B95243" w:rsidRDefault="00B95243" w:rsidP="00907FBD">
      <w:pPr>
        <w:spacing w:after="0"/>
        <w:ind w:left="270"/>
        <w:rPr>
          <w:sz w:val="20"/>
          <w:szCs w:val="20"/>
        </w:rPr>
      </w:pPr>
    </w:p>
    <w:p w14:paraId="4179FAD6" w14:textId="2CDDAA3F" w:rsidR="00712460" w:rsidRDefault="006079C5" w:rsidP="00907FBD">
      <w:pPr>
        <w:spacing w:after="0"/>
        <w:ind w:left="270"/>
        <w:rPr>
          <w:sz w:val="20"/>
          <w:szCs w:val="20"/>
        </w:rPr>
      </w:pPr>
      <w:r>
        <w:rPr>
          <w:sz w:val="20"/>
          <w:szCs w:val="20"/>
        </w:rPr>
        <w:t>There does not appear to be any</w:t>
      </w:r>
      <w:r w:rsidR="00712460">
        <w:rPr>
          <w:sz w:val="20"/>
          <w:szCs w:val="20"/>
        </w:rPr>
        <w:t xml:space="preserve"> other statements in the specification</w:t>
      </w:r>
      <w:r>
        <w:rPr>
          <w:sz w:val="20"/>
          <w:szCs w:val="20"/>
        </w:rPr>
        <w:t>, or included technical artifacts,</w:t>
      </w:r>
      <w:r w:rsidR="00712460">
        <w:rPr>
          <w:sz w:val="20"/>
          <w:szCs w:val="20"/>
        </w:rPr>
        <w:t xml:space="preserve"> that could be </w:t>
      </w:r>
      <w:r>
        <w:rPr>
          <w:sz w:val="20"/>
          <w:szCs w:val="20"/>
        </w:rPr>
        <w:t xml:space="preserve">additionally </w:t>
      </w:r>
      <w:r w:rsidR="00712460">
        <w:rPr>
          <w:sz w:val="20"/>
          <w:szCs w:val="20"/>
        </w:rPr>
        <w:t xml:space="preserve">applied </w:t>
      </w:r>
      <w:r>
        <w:rPr>
          <w:sz w:val="20"/>
          <w:szCs w:val="20"/>
        </w:rPr>
        <w:t xml:space="preserve">to the first sentence in 3.2.8 </w:t>
      </w:r>
      <w:r w:rsidR="00712460">
        <w:rPr>
          <w:sz w:val="20"/>
          <w:szCs w:val="20"/>
        </w:rPr>
        <w:t>to resolve this ambiguity</w:t>
      </w:r>
      <w:r>
        <w:rPr>
          <w:sz w:val="20"/>
          <w:szCs w:val="20"/>
        </w:rPr>
        <w:t>.</w:t>
      </w:r>
    </w:p>
    <w:p w14:paraId="4D455E33" w14:textId="4ED8FA1B" w:rsidR="00B95243" w:rsidRDefault="00B95243" w:rsidP="00907FBD">
      <w:pPr>
        <w:spacing w:after="0"/>
        <w:ind w:left="270"/>
        <w:rPr>
          <w:sz w:val="20"/>
          <w:szCs w:val="20"/>
        </w:rPr>
      </w:pPr>
    </w:p>
    <w:p w14:paraId="74FFBD60" w14:textId="77777777" w:rsidR="006079C5" w:rsidRDefault="006079C5" w:rsidP="00907FBD">
      <w:pPr>
        <w:spacing w:after="0"/>
        <w:ind w:left="270"/>
        <w:rPr>
          <w:sz w:val="20"/>
          <w:szCs w:val="20"/>
        </w:rPr>
      </w:pPr>
    </w:p>
    <w:p w14:paraId="6E8DAB9D" w14:textId="77777777" w:rsidR="00E2458E" w:rsidRDefault="00E2458E" w:rsidP="00907FBD">
      <w:pPr>
        <w:spacing w:after="0"/>
        <w:ind w:left="270"/>
        <w:rPr>
          <w:sz w:val="20"/>
          <w:szCs w:val="20"/>
        </w:rPr>
      </w:pPr>
      <w:r>
        <w:rPr>
          <w:sz w:val="20"/>
          <w:szCs w:val="20"/>
        </w:rPr>
        <w:t>Additional points:</w:t>
      </w:r>
    </w:p>
    <w:p w14:paraId="5A91FE7E" w14:textId="77777777" w:rsidR="00E2458E" w:rsidRDefault="00E2458E" w:rsidP="00E2458E">
      <w:pPr>
        <w:spacing w:after="0"/>
        <w:rPr>
          <w:sz w:val="20"/>
          <w:szCs w:val="20"/>
        </w:rPr>
      </w:pPr>
    </w:p>
    <w:p w14:paraId="612B6489" w14:textId="75469821" w:rsidR="00E2458E" w:rsidRPr="00362C49" w:rsidRDefault="00E2458E" w:rsidP="00362C49">
      <w:pPr>
        <w:pStyle w:val="ListParagraph"/>
        <w:numPr>
          <w:ilvl w:val="0"/>
          <w:numId w:val="1"/>
        </w:numPr>
        <w:spacing w:after="0"/>
        <w:rPr>
          <w:sz w:val="20"/>
          <w:szCs w:val="20"/>
        </w:rPr>
      </w:pPr>
      <w:r w:rsidRPr="00362C49">
        <w:rPr>
          <w:sz w:val="20"/>
          <w:szCs w:val="20"/>
        </w:rPr>
        <w:t>There is no such thing as the ‘</w:t>
      </w:r>
      <w:r w:rsidRPr="00362C49">
        <w:rPr>
          <w:color w:val="0070C0"/>
          <w:sz w:val="20"/>
          <w:szCs w:val="20"/>
        </w:rPr>
        <w:t>NotifyDocketingComplete message</w:t>
      </w:r>
      <w:r w:rsidRPr="00362C49">
        <w:rPr>
          <w:sz w:val="20"/>
          <w:szCs w:val="20"/>
        </w:rPr>
        <w:t>’</w:t>
      </w:r>
      <w:r w:rsidR="008B6702" w:rsidRPr="00362C49">
        <w:rPr>
          <w:sz w:val="20"/>
          <w:szCs w:val="20"/>
        </w:rPr>
        <w:t xml:space="preserve"> (NotifyDocketingComplete is an operation not a message)</w:t>
      </w:r>
      <w:r w:rsidRPr="00362C49">
        <w:rPr>
          <w:sz w:val="20"/>
          <w:szCs w:val="20"/>
        </w:rPr>
        <w:t>. However, there is a RecordDocketingCallbackMessage which is provided on the NotifyDocketingComplete operation invocation call.</w:t>
      </w:r>
    </w:p>
    <w:p w14:paraId="3678216B" w14:textId="39A6C70F" w:rsidR="00E2458E" w:rsidRDefault="00E2458E" w:rsidP="00E2458E">
      <w:pPr>
        <w:spacing w:after="0"/>
        <w:rPr>
          <w:sz w:val="20"/>
          <w:szCs w:val="20"/>
        </w:rPr>
      </w:pPr>
    </w:p>
    <w:p w14:paraId="4E2F6556" w14:textId="072B9607" w:rsidR="00E2458E" w:rsidRPr="00362C49" w:rsidRDefault="00E2458E" w:rsidP="00362C49">
      <w:pPr>
        <w:pStyle w:val="ListParagraph"/>
        <w:numPr>
          <w:ilvl w:val="0"/>
          <w:numId w:val="1"/>
        </w:numPr>
        <w:spacing w:after="0"/>
        <w:rPr>
          <w:sz w:val="20"/>
          <w:szCs w:val="20"/>
        </w:rPr>
      </w:pPr>
      <w:r w:rsidRPr="00362C49">
        <w:rPr>
          <w:sz w:val="20"/>
          <w:szCs w:val="20"/>
        </w:rPr>
        <w:t>Secondly, the message</w:t>
      </w:r>
      <w:r w:rsidR="008B6702" w:rsidRPr="00362C49">
        <w:rPr>
          <w:sz w:val="20"/>
          <w:szCs w:val="20"/>
        </w:rPr>
        <w:t>s</w:t>
      </w:r>
      <w:r w:rsidRPr="00362C49">
        <w:rPr>
          <w:sz w:val="20"/>
          <w:szCs w:val="20"/>
        </w:rPr>
        <w:t xml:space="preserve"> provided on the invocation call to the NotifyFilingReviewComplete operation </w:t>
      </w:r>
      <w:r w:rsidR="008B6702" w:rsidRPr="00362C49">
        <w:rPr>
          <w:sz w:val="20"/>
          <w:szCs w:val="20"/>
        </w:rPr>
        <w:t>are</w:t>
      </w:r>
      <w:r w:rsidRPr="00362C49">
        <w:rPr>
          <w:sz w:val="20"/>
          <w:szCs w:val="20"/>
        </w:rPr>
        <w:t xml:space="preserve"> called</w:t>
      </w:r>
      <w:r w:rsidR="008B6702" w:rsidRPr="00362C49">
        <w:rPr>
          <w:sz w:val="20"/>
          <w:szCs w:val="20"/>
        </w:rPr>
        <w:t xml:space="preserve"> ReviewFilingCallbackMessage and PaymentReceiptMessage (see C.1 ‘Filing Assembly MDE’, C.1.1 ‘Provided Operations’). </w:t>
      </w:r>
    </w:p>
    <w:p w14:paraId="2E274883" w14:textId="34158562" w:rsidR="00362C49" w:rsidRDefault="00362C49" w:rsidP="00E2458E">
      <w:pPr>
        <w:spacing w:after="0"/>
        <w:rPr>
          <w:sz w:val="20"/>
          <w:szCs w:val="20"/>
        </w:rPr>
      </w:pPr>
    </w:p>
    <w:p w14:paraId="38AAD87E" w14:textId="36AA13E2" w:rsidR="00362C49" w:rsidRDefault="00362C49" w:rsidP="00362C49">
      <w:pPr>
        <w:pStyle w:val="ListParagraph"/>
        <w:numPr>
          <w:ilvl w:val="0"/>
          <w:numId w:val="1"/>
        </w:numPr>
        <w:spacing w:after="0"/>
        <w:rPr>
          <w:sz w:val="20"/>
          <w:szCs w:val="20"/>
        </w:rPr>
      </w:pPr>
      <w:r w:rsidRPr="00362C49">
        <w:rPr>
          <w:sz w:val="20"/>
          <w:szCs w:val="20"/>
        </w:rPr>
        <w:t xml:space="preserve">Since RecordDocketingCallbackMessage is now optional, the results of docketing may not be provided to the Filing Review MDE. As such, it may not be possible for the </w:t>
      </w:r>
      <w:r w:rsidR="00C646D3">
        <w:rPr>
          <w:sz w:val="20"/>
          <w:szCs w:val="20"/>
        </w:rPr>
        <w:t>CR</w:t>
      </w:r>
      <w:r w:rsidRPr="00362C49">
        <w:rPr>
          <w:sz w:val="20"/>
          <w:szCs w:val="20"/>
        </w:rPr>
        <w:t>MDE to inform the F</w:t>
      </w:r>
      <w:r w:rsidR="00C646D3">
        <w:rPr>
          <w:sz w:val="20"/>
          <w:szCs w:val="20"/>
        </w:rPr>
        <w:t>R</w:t>
      </w:r>
      <w:r w:rsidRPr="00362C49">
        <w:rPr>
          <w:sz w:val="20"/>
          <w:szCs w:val="20"/>
        </w:rPr>
        <w:t>MDE whether the filing(s) were docketed. As such, the words “and docketed’ may need to be removed from the statement “</w:t>
      </w:r>
      <w:r w:rsidRPr="00362C49">
        <w:rPr>
          <w:color w:val="0070C0"/>
          <w:sz w:val="20"/>
          <w:szCs w:val="20"/>
        </w:rPr>
        <w:t>to indicate whether the filing was accepted and docketed by the clerk and court record system</w:t>
      </w:r>
      <w:r w:rsidRPr="00362C49">
        <w:rPr>
          <w:sz w:val="20"/>
          <w:szCs w:val="20"/>
        </w:rPr>
        <w:t>”.</w:t>
      </w:r>
    </w:p>
    <w:p w14:paraId="4E1CC545" w14:textId="77777777" w:rsidR="000446B8" w:rsidRPr="000446B8" w:rsidRDefault="000446B8" w:rsidP="000446B8">
      <w:pPr>
        <w:pStyle w:val="ListParagraph"/>
        <w:rPr>
          <w:sz w:val="20"/>
          <w:szCs w:val="20"/>
        </w:rPr>
      </w:pPr>
    </w:p>
    <w:p w14:paraId="0C30FB13" w14:textId="747A41E6" w:rsidR="000446B8" w:rsidRPr="00362C49" w:rsidRDefault="000446B8" w:rsidP="00362C49">
      <w:pPr>
        <w:pStyle w:val="ListParagraph"/>
        <w:numPr>
          <w:ilvl w:val="0"/>
          <w:numId w:val="1"/>
        </w:numPr>
        <w:spacing w:after="0"/>
        <w:rPr>
          <w:sz w:val="20"/>
          <w:szCs w:val="20"/>
        </w:rPr>
      </w:pPr>
      <w:r>
        <w:rPr>
          <w:sz w:val="20"/>
          <w:szCs w:val="20"/>
        </w:rPr>
        <w:t>Similarly, since the FRMDE may not know docketing/CRMDE results, the words “and court record system” may need to be removed from the first sentence in the second paragraph.</w:t>
      </w:r>
    </w:p>
    <w:p w14:paraId="5801F109" w14:textId="1C7FF777" w:rsidR="008B6702" w:rsidRDefault="008B6702" w:rsidP="00E2458E">
      <w:pPr>
        <w:spacing w:after="0"/>
        <w:rPr>
          <w:sz w:val="20"/>
          <w:szCs w:val="20"/>
        </w:rPr>
      </w:pPr>
    </w:p>
    <w:p w14:paraId="57F9046C" w14:textId="77777777" w:rsidR="00362C49" w:rsidRDefault="00362C49" w:rsidP="00907FBD">
      <w:pPr>
        <w:spacing w:after="0"/>
        <w:ind w:left="270"/>
        <w:rPr>
          <w:sz w:val="20"/>
          <w:szCs w:val="20"/>
        </w:rPr>
      </w:pPr>
    </w:p>
    <w:p w14:paraId="7DE0AD98" w14:textId="77777777" w:rsidR="00881EBE" w:rsidRDefault="006079C5" w:rsidP="000446B8">
      <w:pPr>
        <w:spacing w:after="0"/>
        <w:ind w:left="270"/>
        <w:rPr>
          <w:sz w:val="20"/>
          <w:szCs w:val="20"/>
        </w:rPr>
      </w:pPr>
      <w:r>
        <w:rPr>
          <w:sz w:val="20"/>
          <w:szCs w:val="20"/>
        </w:rPr>
        <w:t xml:space="preserve">Recommendation. </w:t>
      </w:r>
    </w:p>
    <w:p w14:paraId="0C5FFCA9" w14:textId="77777777" w:rsidR="00881EBE" w:rsidRDefault="00881EBE" w:rsidP="000446B8">
      <w:pPr>
        <w:spacing w:after="0"/>
        <w:ind w:left="270"/>
        <w:rPr>
          <w:sz w:val="20"/>
          <w:szCs w:val="20"/>
        </w:rPr>
      </w:pPr>
    </w:p>
    <w:p w14:paraId="0324B773" w14:textId="2F709063" w:rsidR="00E2458E" w:rsidRDefault="006079C5" w:rsidP="000446B8">
      <w:pPr>
        <w:spacing w:after="0"/>
        <w:ind w:left="270"/>
        <w:rPr>
          <w:sz w:val="20"/>
          <w:szCs w:val="20"/>
        </w:rPr>
      </w:pPr>
      <w:r>
        <w:rPr>
          <w:sz w:val="20"/>
          <w:szCs w:val="20"/>
        </w:rPr>
        <w:t>Both clarify the section making it clear under which circumstances the invocation of the FAMDE NotifyFilingReviewComplete operation is required, and also correct other misstatements.</w:t>
      </w:r>
    </w:p>
    <w:p w14:paraId="6CDBB046" w14:textId="43066BFC" w:rsidR="00D6316F" w:rsidRDefault="00D6316F" w:rsidP="000446B8">
      <w:pPr>
        <w:spacing w:after="0"/>
        <w:ind w:left="270"/>
        <w:rPr>
          <w:sz w:val="20"/>
          <w:szCs w:val="20"/>
        </w:rPr>
      </w:pPr>
    </w:p>
    <w:p w14:paraId="68697471" w14:textId="317C77CB" w:rsidR="00D6316F" w:rsidRDefault="00D6316F" w:rsidP="000446B8">
      <w:pPr>
        <w:spacing w:after="0"/>
        <w:ind w:left="270"/>
        <w:rPr>
          <w:sz w:val="20"/>
          <w:szCs w:val="20"/>
        </w:rPr>
      </w:pPr>
      <w:r>
        <w:rPr>
          <w:sz w:val="20"/>
          <w:szCs w:val="20"/>
        </w:rPr>
        <w:t>For example (e.g., assuming the second parenthetical example is the true intended interpretation):</w:t>
      </w:r>
    </w:p>
    <w:p w14:paraId="4BE603FE" w14:textId="52340708" w:rsidR="00E642B8" w:rsidRDefault="00E642B8" w:rsidP="000446B8">
      <w:pPr>
        <w:spacing w:after="0"/>
        <w:ind w:left="270"/>
        <w:rPr>
          <w:sz w:val="20"/>
          <w:szCs w:val="20"/>
        </w:rPr>
      </w:pPr>
    </w:p>
    <w:p w14:paraId="32D98302" w14:textId="08CF157E" w:rsidR="00E642B8" w:rsidRPr="00C61485" w:rsidRDefault="00E642B8" w:rsidP="000446B8">
      <w:pPr>
        <w:spacing w:after="0"/>
        <w:ind w:left="270"/>
        <w:rPr>
          <w:color w:val="C45911" w:themeColor="accent2" w:themeShade="BF"/>
          <w:sz w:val="20"/>
          <w:szCs w:val="20"/>
        </w:rPr>
      </w:pPr>
      <w:r>
        <w:rPr>
          <w:color w:val="C45911" w:themeColor="accent2" w:themeShade="BF"/>
          <w:sz w:val="20"/>
          <w:szCs w:val="20"/>
        </w:rPr>
        <w:lastRenderedPageBreak/>
        <w:t>Re</w:t>
      </w:r>
      <w:r>
        <w:rPr>
          <w:color w:val="C45911" w:themeColor="accent2" w:themeShade="BF"/>
          <w:sz w:val="20"/>
          <w:szCs w:val="20"/>
        </w:rPr>
        <w:t>viewFiling</w:t>
      </w:r>
      <w:r w:rsidRPr="00C61485">
        <w:rPr>
          <w:color w:val="C45911" w:themeColor="accent2" w:themeShade="BF"/>
          <w:sz w:val="20"/>
          <w:szCs w:val="20"/>
        </w:rPr>
        <w:t>C</w:t>
      </w:r>
      <w:r>
        <w:rPr>
          <w:color w:val="C45911" w:themeColor="accent2" w:themeShade="BF"/>
          <w:sz w:val="20"/>
          <w:szCs w:val="20"/>
        </w:rPr>
        <w:t>allbackMessage</w:t>
      </w:r>
      <w:r w:rsidRPr="00C61485">
        <w:rPr>
          <w:color w:val="C45911" w:themeColor="accent2" w:themeShade="BF"/>
          <w:sz w:val="20"/>
          <w:szCs w:val="20"/>
        </w:rPr>
        <w:t xml:space="preserve"> </w:t>
      </w:r>
      <w:r>
        <w:rPr>
          <w:color w:val="C45911" w:themeColor="accent2" w:themeShade="BF"/>
          <w:sz w:val="20"/>
          <w:szCs w:val="20"/>
        </w:rPr>
        <w:t xml:space="preserve">and PaymentReceiptMessage </w:t>
      </w:r>
      <w:r w:rsidR="00F93FC3">
        <w:rPr>
          <w:color w:val="C45911" w:themeColor="accent2" w:themeShade="BF"/>
          <w:sz w:val="20"/>
          <w:szCs w:val="20"/>
        </w:rPr>
        <w:t>MAY</w:t>
      </w:r>
      <w:r w:rsidRPr="00C61485">
        <w:rPr>
          <w:color w:val="C45911" w:themeColor="accent2" w:themeShade="BF"/>
          <w:sz w:val="20"/>
          <w:szCs w:val="20"/>
        </w:rPr>
        <w:t xml:space="preserve"> </w:t>
      </w:r>
      <w:r>
        <w:rPr>
          <w:color w:val="C45911" w:themeColor="accent2" w:themeShade="BF"/>
          <w:sz w:val="20"/>
          <w:szCs w:val="20"/>
        </w:rPr>
        <w:t xml:space="preserve">be </w:t>
      </w:r>
      <w:r w:rsidRPr="00C61485">
        <w:rPr>
          <w:color w:val="C45911" w:themeColor="accent2" w:themeShade="BF"/>
          <w:sz w:val="20"/>
          <w:szCs w:val="20"/>
        </w:rPr>
        <w:t>provided as callback message</w:t>
      </w:r>
      <w:r>
        <w:rPr>
          <w:color w:val="C45911" w:themeColor="accent2" w:themeShade="BF"/>
          <w:sz w:val="20"/>
          <w:szCs w:val="20"/>
        </w:rPr>
        <w:t>s</w:t>
      </w:r>
      <w:r w:rsidRPr="00C61485">
        <w:rPr>
          <w:color w:val="C45911" w:themeColor="accent2" w:themeShade="BF"/>
          <w:sz w:val="20"/>
          <w:szCs w:val="20"/>
        </w:rPr>
        <w:t xml:space="preserve"> </w:t>
      </w:r>
      <w:r>
        <w:rPr>
          <w:color w:val="C45911" w:themeColor="accent2" w:themeShade="BF"/>
          <w:sz w:val="20"/>
          <w:szCs w:val="20"/>
        </w:rPr>
        <w:t>by</w:t>
      </w:r>
      <w:r w:rsidRPr="00C61485">
        <w:rPr>
          <w:color w:val="C45911" w:themeColor="accent2" w:themeShade="BF"/>
          <w:sz w:val="20"/>
          <w:szCs w:val="20"/>
        </w:rPr>
        <w:t xml:space="preserve"> the Re</w:t>
      </w:r>
      <w:r>
        <w:rPr>
          <w:color w:val="C45911" w:themeColor="accent2" w:themeShade="BF"/>
          <w:sz w:val="20"/>
          <w:szCs w:val="20"/>
        </w:rPr>
        <w:t xml:space="preserve">view </w:t>
      </w:r>
      <w:r w:rsidRPr="00C61485">
        <w:rPr>
          <w:color w:val="C45911" w:themeColor="accent2" w:themeShade="BF"/>
          <w:sz w:val="20"/>
          <w:szCs w:val="20"/>
        </w:rPr>
        <w:t xml:space="preserve">Filing </w:t>
      </w:r>
      <w:r>
        <w:rPr>
          <w:color w:val="C45911" w:themeColor="accent2" w:themeShade="BF"/>
          <w:sz w:val="20"/>
          <w:szCs w:val="20"/>
        </w:rPr>
        <w:t>MDE to the Filing</w:t>
      </w:r>
      <w:r>
        <w:rPr>
          <w:color w:val="C45911" w:themeColor="accent2" w:themeShade="BF"/>
          <w:sz w:val="20"/>
          <w:szCs w:val="20"/>
        </w:rPr>
        <w:t xml:space="preserve"> Assembly</w:t>
      </w:r>
      <w:r>
        <w:rPr>
          <w:color w:val="C45911" w:themeColor="accent2" w:themeShade="BF"/>
          <w:sz w:val="20"/>
          <w:szCs w:val="20"/>
        </w:rPr>
        <w:t xml:space="preserve"> MDE</w:t>
      </w:r>
      <w:r w:rsidRPr="00C61485">
        <w:rPr>
          <w:color w:val="C45911" w:themeColor="accent2" w:themeShade="BF"/>
          <w:sz w:val="20"/>
          <w:szCs w:val="20"/>
        </w:rPr>
        <w:t xml:space="preserve"> to indicate whether </w:t>
      </w:r>
      <w:r w:rsidRPr="00E642B8">
        <w:rPr>
          <w:color w:val="C45911" w:themeColor="accent2" w:themeShade="BF"/>
          <w:sz w:val="20"/>
          <w:szCs w:val="20"/>
        </w:rPr>
        <w:t>the filing</w:t>
      </w:r>
      <w:r w:rsidRPr="00E642B8">
        <w:rPr>
          <w:color w:val="C45911" w:themeColor="accent2" w:themeShade="BF"/>
          <w:sz w:val="20"/>
          <w:szCs w:val="20"/>
        </w:rPr>
        <w:t>s</w:t>
      </w:r>
      <w:r w:rsidRPr="00E642B8">
        <w:rPr>
          <w:color w:val="C45911" w:themeColor="accent2" w:themeShade="BF"/>
          <w:sz w:val="20"/>
          <w:szCs w:val="20"/>
        </w:rPr>
        <w:t xml:space="preserve"> w</w:t>
      </w:r>
      <w:r w:rsidRPr="00E642B8">
        <w:rPr>
          <w:color w:val="C45911" w:themeColor="accent2" w:themeShade="BF"/>
          <w:sz w:val="20"/>
          <w:szCs w:val="20"/>
        </w:rPr>
        <w:t>ere</w:t>
      </w:r>
      <w:r w:rsidRPr="00E642B8">
        <w:rPr>
          <w:color w:val="C45911" w:themeColor="accent2" w:themeShade="BF"/>
          <w:sz w:val="20"/>
          <w:szCs w:val="20"/>
        </w:rPr>
        <w:t xml:space="preserve"> accepted </w:t>
      </w:r>
      <w:r w:rsidR="00184997">
        <w:rPr>
          <w:color w:val="C45911" w:themeColor="accent2" w:themeShade="BF"/>
          <w:sz w:val="20"/>
          <w:szCs w:val="20"/>
        </w:rPr>
        <w:t xml:space="preserve">by </w:t>
      </w:r>
      <w:r w:rsidRPr="00E642B8">
        <w:rPr>
          <w:color w:val="C45911" w:themeColor="accent2" w:themeShade="BF"/>
          <w:sz w:val="20"/>
          <w:szCs w:val="20"/>
        </w:rPr>
        <w:t>the clerk</w:t>
      </w:r>
      <w:r>
        <w:rPr>
          <w:color w:val="C45911" w:themeColor="accent2" w:themeShade="BF"/>
          <w:sz w:val="20"/>
          <w:szCs w:val="20"/>
        </w:rPr>
        <w:t>.</w:t>
      </w:r>
      <w:r>
        <w:rPr>
          <w:color w:val="C45911" w:themeColor="accent2" w:themeShade="BF"/>
          <w:sz w:val="20"/>
          <w:szCs w:val="20"/>
        </w:rPr>
        <w:t xml:space="preserve"> T</w:t>
      </w:r>
      <w:r w:rsidRPr="00C61485">
        <w:rPr>
          <w:color w:val="C45911" w:themeColor="accent2" w:themeShade="BF"/>
          <w:sz w:val="20"/>
          <w:szCs w:val="20"/>
        </w:rPr>
        <w:t xml:space="preserve">he Filing </w:t>
      </w:r>
      <w:r>
        <w:rPr>
          <w:color w:val="C45911" w:themeColor="accent2" w:themeShade="BF"/>
          <w:sz w:val="20"/>
          <w:szCs w:val="20"/>
        </w:rPr>
        <w:t>Assembly</w:t>
      </w:r>
      <w:r w:rsidRPr="00C61485">
        <w:rPr>
          <w:color w:val="C45911" w:themeColor="accent2" w:themeShade="BF"/>
          <w:sz w:val="20"/>
          <w:szCs w:val="20"/>
        </w:rPr>
        <w:t xml:space="preserve"> MDE responds synchronously with an acknowledgement of </w:t>
      </w:r>
      <w:r>
        <w:rPr>
          <w:color w:val="C45911" w:themeColor="accent2" w:themeShade="BF"/>
          <w:sz w:val="20"/>
          <w:szCs w:val="20"/>
        </w:rPr>
        <w:t>any</w:t>
      </w:r>
      <w:r w:rsidRPr="00C61485">
        <w:rPr>
          <w:color w:val="C45911" w:themeColor="accent2" w:themeShade="BF"/>
          <w:sz w:val="20"/>
          <w:szCs w:val="20"/>
        </w:rPr>
        <w:t xml:space="preserve"> callback message</w:t>
      </w:r>
      <w:r>
        <w:rPr>
          <w:color w:val="C45911" w:themeColor="accent2" w:themeShade="BF"/>
          <w:sz w:val="20"/>
          <w:szCs w:val="20"/>
        </w:rPr>
        <w:t xml:space="preserve"> received</w:t>
      </w:r>
      <w:r w:rsidRPr="00C61485">
        <w:rPr>
          <w:color w:val="C45911" w:themeColor="accent2" w:themeShade="BF"/>
          <w:sz w:val="20"/>
          <w:szCs w:val="20"/>
        </w:rPr>
        <w:t>.</w:t>
      </w:r>
    </w:p>
    <w:p w14:paraId="30FE9CFE" w14:textId="35217FC6" w:rsidR="00E642B8" w:rsidRDefault="00E642B8" w:rsidP="000446B8">
      <w:pPr>
        <w:spacing w:after="0"/>
        <w:ind w:left="270"/>
        <w:rPr>
          <w:sz w:val="20"/>
          <w:szCs w:val="20"/>
        </w:rPr>
      </w:pPr>
    </w:p>
    <w:p w14:paraId="782050A3" w14:textId="38A04FD8" w:rsidR="002F2438" w:rsidRDefault="002F2438" w:rsidP="000446B8">
      <w:pPr>
        <w:spacing w:after="0"/>
        <w:ind w:left="270"/>
        <w:rPr>
          <w:color w:val="C45911" w:themeColor="accent2" w:themeShade="BF"/>
          <w:sz w:val="20"/>
          <w:szCs w:val="20"/>
        </w:rPr>
      </w:pPr>
      <w:r>
        <w:rPr>
          <w:color w:val="C45911" w:themeColor="accent2" w:themeShade="BF"/>
          <w:sz w:val="20"/>
          <w:szCs w:val="20"/>
        </w:rPr>
        <w:t>When</w:t>
      </w:r>
      <w:r w:rsidRPr="00C61485">
        <w:rPr>
          <w:color w:val="C45911" w:themeColor="accent2" w:themeShade="BF"/>
          <w:sz w:val="20"/>
          <w:szCs w:val="20"/>
        </w:rPr>
        <w:t xml:space="preserve"> the &lt;RequireAsynchronousResponsesIndicator&gt; in the court policy is “true”, the </w:t>
      </w:r>
      <w:r>
        <w:rPr>
          <w:color w:val="C45911" w:themeColor="accent2" w:themeShade="BF"/>
          <w:sz w:val="20"/>
          <w:szCs w:val="20"/>
        </w:rPr>
        <w:t>Filing Review</w:t>
      </w:r>
      <w:r w:rsidRPr="00C61485">
        <w:rPr>
          <w:color w:val="C45911" w:themeColor="accent2" w:themeShade="BF"/>
          <w:sz w:val="20"/>
          <w:szCs w:val="20"/>
        </w:rPr>
        <w:t xml:space="preserve"> MDE MUST invoke the Notify</w:t>
      </w:r>
      <w:r>
        <w:rPr>
          <w:color w:val="C45911" w:themeColor="accent2" w:themeShade="BF"/>
          <w:sz w:val="20"/>
          <w:szCs w:val="20"/>
        </w:rPr>
        <w:t>FilingReview</w:t>
      </w:r>
      <w:r w:rsidRPr="00C61485">
        <w:rPr>
          <w:color w:val="C45911" w:themeColor="accent2" w:themeShade="BF"/>
          <w:sz w:val="20"/>
          <w:szCs w:val="20"/>
        </w:rPr>
        <w:t xml:space="preserve">Complete operation on the Filing </w:t>
      </w:r>
      <w:r>
        <w:rPr>
          <w:color w:val="C45911" w:themeColor="accent2" w:themeShade="BF"/>
          <w:sz w:val="20"/>
          <w:szCs w:val="20"/>
        </w:rPr>
        <w:t>Assembly</w:t>
      </w:r>
      <w:r w:rsidRPr="00C61485">
        <w:rPr>
          <w:color w:val="C45911" w:themeColor="accent2" w:themeShade="BF"/>
          <w:sz w:val="20"/>
          <w:szCs w:val="20"/>
        </w:rPr>
        <w:t xml:space="preserve"> MDE</w:t>
      </w:r>
      <w:r>
        <w:rPr>
          <w:color w:val="C45911" w:themeColor="accent2" w:themeShade="BF"/>
          <w:sz w:val="20"/>
          <w:szCs w:val="20"/>
        </w:rPr>
        <w:t xml:space="preserve"> upon receipt of a RecordDocketngCallbackMessage from the Court Record MDE</w:t>
      </w:r>
      <w:r>
        <w:rPr>
          <w:color w:val="C45911" w:themeColor="accent2" w:themeShade="BF"/>
          <w:sz w:val="20"/>
          <w:szCs w:val="20"/>
        </w:rPr>
        <w:t xml:space="preserve">, otherwise the callback message is optional. </w:t>
      </w:r>
    </w:p>
    <w:p w14:paraId="7923E3A9" w14:textId="70E1D48F" w:rsidR="002F2438" w:rsidRDefault="002F2438" w:rsidP="000446B8">
      <w:pPr>
        <w:spacing w:after="0"/>
        <w:ind w:left="270"/>
        <w:rPr>
          <w:color w:val="C45911" w:themeColor="accent2" w:themeShade="BF"/>
          <w:sz w:val="20"/>
          <w:szCs w:val="20"/>
        </w:rPr>
      </w:pPr>
    </w:p>
    <w:p w14:paraId="31F1FC0B" w14:textId="4DF5C52F" w:rsidR="002F2438" w:rsidRDefault="002F2438" w:rsidP="000446B8">
      <w:pPr>
        <w:spacing w:after="0"/>
        <w:ind w:left="270"/>
        <w:rPr>
          <w:color w:val="C45911" w:themeColor="accent2" w:themeShade="BF"/>
          <w:sz w:val="20"/>
          <w:szCs w:val="20"/>
        </w:rPr>
      </w:pPr>
      <w:r w:rsidRPr="002F2438">
        <w:rPr>
          <w:color w:val="C45911" w:themeColor="accent2" w:themeShade="BF"/>
          <w:sz w:val="20"/>
          <w:szCs w:val="20"/>
        </w:rPr>
        <w:t>The operation MAY return the filed documents or links to the documents but MUST include the [FIPS 180-4] SHA 256 document hash, a condensed representation of a document intended to protect document integrity.</w:t>
      </w:r>
    </w:p>
    <w:p w14:paraId="4B910EFE" w14:textId="77777777" w:rsidR="002F2438" w:rsidRPr="002F2438" w:rsidRDefault="002F2438" w:rsidP="000446B8">
      <w:pPr>
        <w:spacing w:after="0"/>
        <w:ind w:left="270"/>
        <w:rPr>
          <w:color w:val="C45911" w:themeColor="accent2" w:themeShade="BF"/>
          <w:sz w:val="20"/>
          <w:szCs w:val="20"/>
        </w:rPr>
      </w:pPr>
    </w:p>
    <w:p w14:paraId="22A4700E" w14:textId="7F885955" w:rsidR="002F2438" w:rsidRDefault="002F2438" w:rsidP="000446B8">
      <w:pPr>
        <w:spacing w:after="0"/>
        <w:ind w:left="270"/>
        <w:rPr>
          <w:color w:val="C45911" w:themeColor="accent2" w:themeShade="BF"/>
          <w:sz w:val="20"/>
          <w:szCs w:val="20"/>
        </w:rPr>
      </w:pPr>
      <w:r w:rsidRPr="002F2438">
        <w:rPr>
          <w:color w:val="C45911" w:themeColor="accent2" w:themeShade="BF"/>
          <w:sz w:val="20"/>
          <w:szCs w:val="20"/>
        </w:rPr>
        <w:t xml:space="preserve">If the filing included a payment, and the filing was accepted by the clerk, a receipt for the payment MUST be included in the operation.  </w:t>
      </w:r>
    </w:p>
    <w:p w14:paraId="38E5AD10" w14:textId="0B78374D" w:rsidR="000446B8" w:rsidRPr="00F93FC3" w:rsidRDefault="000446B8" w:rsidP="002F2438">
      <w:pPr>
        <w:spacing w:after="0"/>
        <w:ind w:left="270"/>
        <w:rPr>
          <w:sz w:val="20"/>
          <w:szCs w:val="20"/>
        </w:rPr>
      </w:pPr>
    </w:p>
    <w:p w14:paraId="1DEE451D" w14:textId="36341C36" w:rsidR="00F93FC3" w:rsidRDefault="00F93FC3" w:rsidP="002F2438">
      <w:pPr>
        <w:spacing w:after="0"/>
        <w:ind w:left="270"/>
        <w:rPr>
          <w:sz w:val="20"/>
          <w:szCs w:val="20"/>
        </w:rPr>
      </w:pPr>
      <w:r w:rsidRPr="00F93FC3">
        <w:rPr>
          <w:sz w:val="20"/>
          <w:szCs w:val="20"/>
        </w:rPr>
        <w:t>Note:</w:t>
      </w:r>
      <w:r>
        <w:rPr>
          <w:sz w:val="20"/>
          <w:szCs w:val="20"/>
        </w:rPr>
        <w:t xml:space="preserve"> Depending upon the resolution of #1</w:t>
      </w:r>
      <w:r w:rsidR="00881EBE">
        <w:rPr>
          <w:sz w:val="20"/>
          <w:szCs w:val="20"/>
        </w:rPr>
        <w:t>7</w:t>
      </w:r>
      <w:r>
        <w:rPr>
          <w:sz w:val="20"/>
          <w:szCs w:val="20"/>
        </w:rPr>
        <w:t xml:space="preserve"> below, the word “filings” above may instead be “filing”.</w:t>
      </w:r>
    </w:p>
    <w:p w14:paraId="5F3E9110" w14:textId="77777777" w:rsidR="00F93FC3" w:rsidRPr="00F93FC3" w:rsidRDefault="00F93FC3" w:rsidP="002F2438">
      <w:pPr>
        <w:spacing w:after="0"/>
        <w:ind w:left="270"/>
        <w:rPr>
          <w:sz w:val="20"/>
          <w:szCs w:val="20"/>
        </w:rPr>
      </w:pPr>
    </w:p>
    <w:p w14:paraId="212C522A" w14:textId="77777777" w:rsidR="008C7360" w:rsidRDefault="008C7360" w:rsidP="002F2438">
      <w:pPr>
        <w:spacing w:after="0"/>
        <w:ind w:left="270"/>
        <w:rPr>
          <w:color w:val="C45911" w:themeColor="accent2" w:themeShade="BF"/>
          <w:sz w:val="20"/>
          <w:szCs w:val="20"/>
        </w:rPr>
      </w:pPr>
    </w:p>
    <w:p w14:paraId="612F8C25" w14:textId="63C75C80" w:rsidR="002F2438" w:rsidRDefault="0088666D" w:rsidP="00E2458E">
      <w:pPr>
        <w:spacing w:after="0"/>
        <w:rPr>
          <w:sz w:val="20"/>
          <w:szCs w:val="20"/>
        </w:rPr>
      </w:pPr>
      <w:r>
        <w:rPr>
          <w:sz w:val="20"/>
          <w:szCs w:val="20"/>
        </w:rPr>
        <w:t>1</w:t>
      </w:r>
      <w:r w:rsidR="00255A4E">
        <w:rPr>
          <w:sz w:val="20"/>
          <w:szCs w:val="20"/>
        </w:rPr>
        <w:t>7</w:t>
      </w:r>
      <w:r>
        <w:rPr>
          <w:sz w:val="20"/>
          <w:szCs w:val="20"/>
        </w:rPr>
        <w:t>. Inconsistent use of the word ‘filing’.</w:t>
      </w:r>
    </w:p>
    <w:p w14:paraId="54FED96A" w14:textId="4FE7A4AD" w:rsidR="0088666D" w:rsidRDefault="0088666D" w:rsidP="00E2458E">
      <w:pPr>
        <w:spacing w:after="0"/>
        <w:rPr>
          <w:sz w:val="20"/>
          <w:szCs w:val="20"/>
        </w:rPr>
      </w:pPr>
    </w:p>
    <w:p w14:paraId="04A573A4" w14:textId="574F973A" w:rsidR="0088666D" w:rsidRDefault="00E405D3" w:rsidP="00951F14">
      <w:pPr>
        <w:spacing w:after="0"/>
        <w:ind w:left="270"/>
        <w:rPr>
          <w:sz w:val="20"/>
          <w:szCs w:val="20"/>
        </w:rPr>
      </w:pPr>
      <w:r>
        <w:rPr>
          <w:sz w:val="20"/>
          <w:szCs w:val="20"/>
        </w:rPr>
        <w:t>The word ‘filing’, sometimes is used in the singular form ‘filing’ and at other times is used in the plural form ‘filings’.</w:t>
      </w:r>
    </w:p>
    <w:p w14:paraId="23698109" w14:textId="2187FE81" w:rsidR="00E405D3" w:rsidRDefault="00E405D3" w:rsidP="00951F14">
      <w:pPr>
        <w:spacing w:after="0"/>
        <w:ind w:left="270"/>
        <w:rPr>
          <w:sz w:val="20"/>
          <w:szCs w:val="20"/>
        </w:rPr>
      </w:pPr>
    </w:p>
    <w:p w14:paraId="793B523B" w14:textId="6C35322D" w:rsidR="00E405D3" w:rsidRDefault="00E405D3" w:rsidP="00951F14">
      <w:pPr>
        <w:spacing w:after="0"/>
        <w:ind w:left="270"/>
        <w:rPr>
          <w:sz w:val="20"/>
          <w:szCs w:val="20"/>
        </w:rPr>
      </w:pPr>
      <w:r>
        <w:rPr>
          <w:sz w:val="20"/>
          <w:szCs w:val="20"/>
        </w:rPr>
        <w:t xml:space="preserve">Sometimes the word ‘filing’ </w:t>
      </w:r>
      <w:r w:rsidR="00472B97">
        <w:rPr>
          <w:sz w:val="20"/>
          <w:szCs w:val="20"/>
        </w:rPr>
        <w:t>appears to be</w:t>
      </w:r>
      <w:r>
        <w:rPr>
          <w:sz w:val="20"/>
          <w:szCs w:val="20"/>
        </w:rPr>
        <w:t xml:space="preserve"> used as a synonym </w:t>
      </w:r>
      <w:r w:rsidR="00D500B7">
        <w:rPr>
          <w:sz w:val="20"/>
          <w:szCs w:val="20"/>
        </w:rPr>
        <w:t>for</w:t>
      </w:r>
      <w:r>
        <w:rPr>
          <w:sz w:val="20"/>
          <w:szCs w:val="20"/>
        </w:rPr>
        <w:t xml:space="preserve"> ‘submission’ (e.g., as in an RvFR) and sometimes it is used as a synonym for ‘document’ or ‘document rendition’</w:t>
      </w:r>
      <w:r w:rsidR="006B5AA2">
        <w:rPr>
          <w:sz w:val="20"/>
          <w:szCs w:val="20"/>
        </w:rPr>
        <w:t xml:space="preserve">, or </w:t>
      </w:r>
      <w:r w:rsidR="00D500B7">
        <w:rPr>
          <w:sz w:val="20"/>
          <w:szCs w:val="20"/>
        </w:rPr>
        <w:t xml:space="preserve">as </w:t>
      </w:r>
      <w:r w:rsidR="006B5AA2">
        <w:rPr>
          <w:sz w:val="20"/>
          <w:szCs w:val="20"/>
        </w:rPr>
        <w:t xml:space="preserve">a </w:t>
      </w:r>
      <w:r w:rsidR="00472B97">
        <w:rPr>
          <w:sz w:val="20"/>
          <w:szCs w:val="20"/>
        </w:rPr>
        <w:t>“</w:t>
      </w:r>
      <w:r w:rsidR="006B5AA2" w:rsidRPr="00472B97">
        <w:rPr>
          <w:color w:val="0070C0"/>
          <w:sz w:val="20"/>
          <w:szCs w:val="20"/>
        </w:rPr>
        <w:t>combination of data and documents</w:t>
      </w:r>
      <w:r w:rsidR="00472B97">
        <w:rPr>
          <w:sz w:val="20"/>
          <w:szCs w:val="20"/>
        </w:rPr>
        <w:t>”</w:t>
      </w:r>
      <w:r w:rsidR="006B5AA2">
        <w:rPr>
          <w:sz w:val="20"/>
          <w:szCs w:val="20"/>
        </w:rPr>
        <w:t>.</w:t>
      </w:r>
    </w:p>
    <w:p w14:paraId="3716E7C7" w14:textId="04C68F91" w:rsidR="00E405D3" w:rsidRDefault="00E405D3" w:rsidP="00951F14">
      <w:pPr>
        <w:spacing w:after="0"/>
        <w:ind w:left="270"/>
        <w:rPr>
          <w:sz w:val="20"/>
          <w:szCs w:val="20"/>
        </w:rPr>
      </w:pPr>
    </w:p>
    <w:p w14:paraId="507E7216" w14:textId="2905C62D" w:rsidR="00E405D3" w:rsidRDefault="00E405D3" w:rsidP="00951F14">
      <w:pPr>
        <w:spacing w:after="0"/>
        <w:ind w:left="270"/>
        <w:rPr>
          <w:sz w:val="20"/>
          <w:szCs w:val="20"/>
        </w:rPr>
      </w:pPr>
      <w:r>
        <w:rPr>
          <w:sz w:val="20"/>
          <w:szCs w:val="20"/>
        </w:rPr>
        <w:t>Examples:</w:t>
      </w:r>
    </w:p>
    <w:p w14:paraId="476136AD" w14:textId="0F7535A4" w:rsidR="00E405D3" w:rsidRDefault="00E405D3" w:rsidP="00951F14">
      <w:pPr>
        <w:spacing w:after="0"/>
        <w:ind w:left="270"/>
        <w:rPr>
          <w:sz w:val="20"/>
          <w:szCs w:val="20"/>
        </w:rPr>
      </w:pPr>
    </w:p>
    <w:p w14:paraId="1E9782D0" w14:textId="12097E04" w:rsidR="00327A14" w:rsidRDefault="00327A14" w:rsidP="00951F14">
      <w:pPr>
        <w:spacing w:after="0"/>
        <w:ind w:left="270"/>
        <w:rPr>
          <w:sz w:val="20"/>
          <w:szCs w:val="20"/>
        </w:rPr>
      </w:pPr>
      <w:r>
        <w:rPr>
          <w:sz w:val="20"/>
          <w:szCs w:val="20"/>
        </w:rPr>
        <w:t>1. In 3.2.8 ‘NotifyFilingReviewComplete’ is says “</w:t>
      </w:r>
      <w:r w:rsidRPr="00C50D93">
        <w:rPr>
          <w:color w:val="0070C0"/>
          <w:sz w:val="20"/>
          <w:szCs w:val="20"/>
        </w:rPr>
        <w:t>if the clerk rejects the filings</w:t>
      </w:r>
      <w:r>
        <w:rPr>
          <w:sz w:val="20"/>
          <w:szCs w:val="20"/>
        </w:rPr>
        <w:t>” (plural). It is not clear if “filings” is intended to refer to the submission or the documents</w:t>
      </w:r>
      <w:r w:rsidR="00946FA5">
        <w:rPr>
          <w:sz w:val="20"/>
          <w:szCs w:val="20"/>
        </w:rPr>
        <w:t xml:space="preserve"> provided in a submission</w:t>
      </w:r>
      <w:r>
        <w:rPr>
          <w:sz w:val="20"/>
          <w:szCs w:val="20"/>
        </w:rPr>
        <w:t>. Submission makes more sen</w:t>
      </w:r>
      <w:r w:rsidR="00CF6CB7">
        <w:rPr>
          <w:sz w:val="20"/>
          <w:szCs w:val="20"/>
        </w:rPr>
        <w:t>s</w:t>
      </w:r>
      <w:r>
        <w:rPr>
          <w:sz w:val="20"/>
          <w:szCs w:val="20"/>
        </w:rPr>
        <w:t xml:space="preserve">e in which case it should be singular. </w:t>
      </w:r>
    </w:p>
    <w:p w14:paraId="23AEDD21" w14:textId="0665FDAE" w:rsidR="00CF6CB7" w:rsidRDefault="00CF6CB7" w:rsidP="00951F14">
      <w:pPr>
        <w:spacing w:after="0"/>
        <w:ind w:left="270"/>
        <w:rPr>
          <w:sz w:val="20"/>
          <w:szCs w:val="20"/>
        </w:rPr>
      </w:pPr>
    </w:p>
    <w:p w14:paraId="11C1A2A7" w14:textId="4E1C3751" w:rsidR="00CF6CB7" w:rsidRDefault="00CF6CB7" w:rsidP="00951F14">
      <w:pPr>
        <w:spacing w:after="0"/>
        <w:ind w:left="270"/>
        <w:rPr>
          <w:sz w:val="20"/>
          <w:szCs w:val="20"/>
        </w:rPr>
      </w:pPr>
      <w:r>
        <w:rPr>
          <w:sz w:val="20"/>
          <w:szCs w:val="20"/>
        </w:rPr>
        <w:t>This understanding (as ‘submission’ rather than ‘document’</w:t>
      </w:r>
      <w:r w:rsidR="004B39CA">
        <w:rPr>
          <w:sz w:val="20"/>
          <w:szCs w:val="20"/>
        </w:rPr>
        <w:t>)</w:t>
      </w:r>
      <w:r>
        <w:rPr>
          <w:sz w:val="20"/>
          <w:szCs w:val="20"/>
        </w:rPr>
        <w:t xml:space="preserve"> seems consistent with the u</w:t>
      </w:r>
      <w:r w:rsidR="00AC4164">
        <w:rPr>
          <w:sz w:val="20"/>
          <w:szCs w:val="20"/>
        </w:rPr>
        <w:t>se</w:t>
      </w:r>
      <w:r>
        <w:rPr>
          <w:sz w:val="20"/>
          <w:szCs w:val="20"/>
        </w:rPr>
        <w:t xml:space="preserve"> of the word “filing” in the section </w:t>
      </w:r>
      <w:r w:rsidR="008560EF">
        <w:rPr>
          <w:sz w:val="20"/>
          <w:szCs w:val="20"/>
        </w:rPr>
        <w:t>immediately prior</w:t>
      </w:r>
      <w:r>
        <w:rPr>
          <w:sz w:val="20"/>
          <w:szCs w:val="20"/>
        </w:rPr>
        <w:t xml:space="preserve"> (i.e., 3.2.7 NotifyDocketingComplete)</w:t>
      </w:r>
      <w:r w:rsidR="004B39CA">
        <w:rPr>
          <w:sz w:val="20"/>
          <w:szCs w:val="20"/>
        </w:rPr>
        <w:t>. In this section</w:t>
      </w:r>
      <w:r w:rsidR="00AC4164">
        <w:rPr>
          <w:sz w:val="20"/>
          <w:szCs w:val="20"/>
        </w:rPr>
        <w:t>,</w:t>
      </w:r>
      <w:r w:rsidR="004B39CA">
        <w:rPr>
          <w:sz w:val="20"/>
          <w:szCs w:val="20"/>
        </w:rPr>
        <w:t xml:space="preserve"> filing is used in “</w:t>
      </w:r>
      <w:r w:rsidR="004B39CA" w:rsidRPr="00C50D93">
        <w:rPr>
          <w:color w:val="0070C0"/>
          <w:sz w:val="20"/>
          <w:szCs w:val="20"/>
        </w:rPr>
        <w:t>to indicate whether the filing was accepted or rejected</w:t>
      </w:r>
      <w:r w:rsidR="004B39CA">
        <w:rPr>
          <w:sz w:val="20"/>
          <w:szCs w:val="20"/>
        </w:rPr>
        <w:t>” and “</w:t>
      </w:r>
      <w:r w:rsidR="004B39CA" w:rsidRPr="00C50D93">
        <w:rPr>
          <w:color w:val="0070C0"/>
          <w:sz w:val="20"/>
          <w:szCs w:val="20"/>
        </w:rPr>
        <w:t>i</w:t>
      </w:r>
      <w:r w:rsidR="004B39CA" w:rsidRPr="00C50D93">
        <w:rPr>
          <w:color w:val="0070C0"/>
          <w:sz w:val="20"/>
          <w:szCs w:val="20"/>
        </w:rPr>
        <w:t>f the Court Record MDE rejected the filing</w:t>
      </w:r>
      <w:r w:rsidR="004B39CA">
        <w:rPr>
          <w:sz w:val="20"/>
          <w:szCs w:val="20"/>
        </w:rPr>
        <w:t>”</w:t>
      </w:r>
      <w:r w:rsidR="00BF1AE8">
        <w:rPr>
          <w:sz w:val="20"/>
          <w:szCs w:val="20"/>
        </w:rPr>
        <w:t xml:space="preserve">. Here, it appears </w:t>
      </w:r>
      <w:r w:rsidR="00AC4164">
        <w:rPr>
          <w:sz w:val="20"/>
          <w:szCs w:val="20"/>
        </w:rPr>
        <w:t>‘</w:t>
      </w:r>
      <w:r w:rsidR="00BF1AE8">
        <w:rPr>
          <w:sz w:val="20"/>
          <w:szCs w:val="20"/>
        </w:rPr>
        <w:t>filing</w:t>
      </w:r>
      <w:r w:rsidR="00AC4164">
        <w:rPr>
          <w:sz w:val="20"/>
          <w:szCs w:val="20"/>
        </w:rPr>
        <w:t>’</w:t>
      </w:r>
      <w:r w:rsidR="00BF1AE8">
        <w:rPr>
          <w:sz w:val="20"/>
          <w:szCs w:val="20"/>
        </w:rPr>
        <w:t xml:space="preserve"> (singular) is intended to be understood as ‘submission’ and not as ‘document’.</w:t>
      </w:r>
    </w:p>
    <w:p w14:paraId="2B83103E" w14:textId="11342956" w:rsidR="00450C36" w:rsidRDefault="00450C36" w:rsidP="00951F14">
      <w:pPr>
        <w:spacing w:after="0"/>
        <w:ind w:left="270"/>
        <w:rPr>
          <w:sz w:val="20"/>
          <w:szCs w:val="20"/>
        </w:rPr>
      </w:pPr>
    </w:p>
    <w:p w14:paraId="19227F78" w14:textId="02A5889C" w:rsidR="00946FA5" w:rsidRDefault="00946FA5" w:rsidP="00951F14">
      <w:pPr>
        <w:spacing w:after="0"/>
        <w:ind w:left="270"/>
        <w:rPr>
          <w:sz w:val="20"/>
          <w:szCs w:val="20"/>
        </w:rPr>
      </w:pPr>
      <w:r>
        <w:rPr>
          <w:sz w:val="20"/>
          <w:szCs w:val="20"/>
        </w:rPr>
        <w:t xml:space="preserve">At a minimum, the word “filing” should be used consistently in both </w:t>
      </w:r>
      <w:r w:rsidR="00C50D93">
        <w:rPr>
          <w:sz w:val="20"/>
          <w:szCs w:val="20"/>
        </w:rPr>
        <w:t>3.2.7 and 3.2.8. e.g., in its singular form or plural form. It appears that the singular form is correct</w:t>
      </w:r>
      <w:r w:rsidR="00A51211">
        <w:rPr>
          <w:sz w:val="20"/>
          <w:szCs w:val="20"/>
        </w:rPr>
        <w:t>.</w:t>
      </w:r>
      <w:r w:rsidR="00C50D93">
        <w:rPr>
          <w:sz w:val="20"/>
          <w:szCs w:val="20"/>
        </w:rPr>
        <w:t xml:space="preserve"> (</w:t>
      </w:r>
      <w:r w:rsidR="00A51211">
        <w:rPr>
          <w:sz w:val="20"/>
          <w:szCs w:val="20"/>
        </w:rPr>
        <w:t>A</w:t>
      </w:r>
      <w:r w:rsidR="00C50D93">
        <w:rPr>
          <w:sz w:val="20"/>
          <w:szCs w:val="20"/>
        </w:rPr>
        <w:t>lso see 3.2.3 ‘GetFeesCalculation’, 3.2.4 ‘ReviewFiling’ 3.2.5 ‘ServeFiling’, 3.2.6 ‘RecordFiling’, 3.2.9 ‘GetFilingList’, 3.2.10 ‘GetFilingStatus’.</w:t>
      </w:r>
      <w:r>
        <w:rPr>
          <w:sz w:val="20"/>
          <w:szCs w:val="20"/>
        </w:rPr>
        <w:t xml:space="preserve"> </w:t>
      </w:r>
      <w:r w:rsidR="00A51211">
        <w:rPr>
          <w:sz w:val="20"/>
          <w:szCs w:val="20"/>
        </w:rPr>
        <w:t>In each of these sections, the word “filing’ refers to ‘submission’ and not to ‘documents’ provided in a submission.)</w:t>
      </w:r>
    </w:p>
    <w:p w14:paraId="498641A8" w14:textId="4833C518" w:rsidR="00D0643C" w:rsidRDefault="00D0643C" w:rsidP="00A51211">
      <w:pPr>
        <w:spacing w:after="0"/>
        <w:rPr>
          <w:sz w:val="20"/>
          <w:szCs w:val="20"/>
        </w:rPr>
      </w:pPr>
    </w:p>
    <w:p w14:paraId="051CFDF1" w14:textId="4446C052" w:rsidR="00A15208" w:rsidRDefault="00A15208" w:rsidP="00A51211">
      <w:pPr>
        <w:spacing w:after="0"/>
        <w:rPr>
          <w:sz w:val="20"/>
          <w:szCs w:val="20"/>
        </w:rPr>
      </w:pPr>
    </w:p>
    <w:p w14:paraId="3A8A0EF0" w14:textId="52C5FA06" w:rsidR="00B55442" w:rsidRDefault="003F33D9" w:rsidP="00951F14">
      <w:pPr>
        <w:spacing w:after="0"/>
        <w:ind w:left="270"/>
        <w:rPr>
          <w:sz w:val="20"/>
          <w:szCs w:val="20"/>
        </w:rPr>
      </w:pPr>
      <w:r>
        <w:rPr>
          <w:sz w:val="20"/>
          <w:szCs w:val="20"/>
        </w:rPr>
        <w:t>2. In the Glossary in section 1.4 ‘Terms and Definitions’, ‘</w:t>
      </w:r>
      <w:r w:rsidRPr="003F33D9">
        <w:rPr>
          <w:b/>
          <w:bCs/>
          <w:sz w:val="20"/>
          <w:szCs w:val="20"/>
        </w:rPr>
        <w:t>Filing</w:t>
      </w:r>
      <w:r>
        <w:rPr>
          <w:sz w:val="20"/>
          <w:szCs w:val="20"/>
        </w:rPr>
        <w:t>’ is defined as: “</w:t>
      </w:r>
      <w:r w:rsidRPr="003F33D9">
        <w:rPr>
          <w:color w:val="0070C0"/>
          <w:sz w:val="20"/>
          <w:szCs w:val="20"/>
        </w:rPr>
        <w:t>An electronic document (with any associated data, attachments and the like) that has been assembled for the purpose of being filed into a specified court case.</w:t>
      </w:r>
      <w:r>
        <w:rPr>
          <w:sz w:val="20"/>
          <w:szCs w:val="20"/>
        </w:rPr>
        <w:t>” Whereas this definition may be suitable for a common language or court/legal community usage of the term, it does not appear to b</w:t>
      </w:r>
      <w:r w:rsidR="00314C08">
        <w:rPr>
          <w:sz w:val="20"/>
          <w:szCs w:val="20"/>
        </w:rPr>
        <w:t>e</w:t>
      </w:r>
      <w:r>
        <w:rPr>
          <w:sz w:val="20"/>
          <w:szCs w:val="20"/>
        </w:rPr>
        <w:t xml:space="preserve"> the definition of “filing” as used in Section 3.1 ‘Business Rules’.</w:t>
      </w:r>
    </w:p>
    <w:p w14:paraId="188E775A" w14:textId="2C8572E4" w:rsidR="003F33D9" w:rsidRDefault="003F33D9" w:rsidP="00951F14">
      <w:pPr>
        <w:spacing w:after="0"/>
        <w:ind w:left="270"/>
        <w:rPr>
          <w:sz w:val="20"/>
          <w:szCs w:val="20"/>
        </w:rPr>
      </w:pPr>
    </w:p>
    <w:p w14:paraId="771F8ECF" w14:textId="10B6A333" w:rsidR="00155154" w:rsidRDefault="00155154" w:rsidP="00EF7F4B">
      <w:pPr>
        <w:spacing w:after="0"/>
        <w:rPr>
          <w:sz w:val="20"/>
          <w:szCs w:val="20"/>
        </w:rPr>
      </w:pPr>
    </w:p>
    <w:p w14:paraId="499F82B7" w14:textId="7B60B547" w:rsidR="00155154" w:rsidRDefault="009C07A3" w:rsidP="00951F14">
      <w:pPr>
        <w:spacing w:after="0"/>
        <w:ind w:left="270"/>
        <w:rPr>
          <w:sz w:val="20"/>
          <w:szCs w:val="20"/>
        </w:rPr>
      </w:pPr>
      <w:r>
        <w:rPr>
          <w:sz w:val="20"/>
          <w:szCs w:val="20"/>
        </w:rPr>
        <w:t>Recommendations:</w:t>
      </w:r>
    </w:p>
    <w:p w14:paraId="4817520A" w14:textId="4C06E8E5" w:rsidR="009C07A3" w:rsidRDefault="009C07A3" w:rsidP="00951F14">
      <w:pPr>
        <w:spacing w:after="0"/>
        <w:ind w:left="270"/>
        <w:rPr>
          <w:sz w:val="20"/>
          <w:szCs w:val="20"/>
        </w:rPr>
      </w:pPr>
    </w:p>
    <w:p w14:paraId="402164CB" w14:textId="7628985A" w:rsidR="00876357" w:rsidRDefault="00876357" w:rsidP="00951F14">
      <w:pPr>
        <w:spacing w:after="0"/>
        <w:ind w:left="270"/>
        <w:rPr>
          <w:sz w:val="20"/>
          <w:szCs w:val="20"/>
        </w:rPr>
      </w:pPr>
      <w:r>
        <w:rPr>
          <w:sz w:val="20"/>
          <w:szCs w:val="20"/>
        </w:rPr>
        <w:t xml:space="preserve">Recognizing that the word “filing”, or “filings” has multiple usages, such as common language usages, legal community business and court usages, as well as ECF technical language usages, then use these terms consistently. </w:t>
      </w:r>
    </w:p>
    <w:p w14:paraId="09D545C6" w14:textId="55E26A56" w:rsidR="00876357" w:rsidRDefault="00876357" w:rsidP="00951F14">
      <w:pPr>
        <w:spacing w:after="0"/>
        <w:ind w:left="270"/>
        <w:rPr>
          <w:sz w:val="20"/>
          <w:szCs w:val="20"/>
        </w:rPr>
      </w:pPr>
    </w:p>
    <w:p w14:paraId="193C6CC3" w14:textId="3C71B48B" w:rsidR="00EE5A25" w:rsidRDefault="002772FA" w:rsidP="00EE5A25">
      <w:pPr>
        <w:spacing w:after="0"/>
        <w:ind w:left="270"/>
        <w:rPr>
          <w:sz w:val="20"/>
          <w:szCs w:val="20"/>
        </w:rPr>
      </w:pPr>
      <w:r>
        <w:rPr>
          <w:sz w:val="20"/>
          <w:szCs w:val="20"/>
        </w:rPr>
        <w:t>a. R</w:t>
      </w:r>
      <w:r w:rsidR="00EE5A25">
        <w:rPr>
          <w:sz w:val="20"/>
          <w:szCs w:val="20"/>
        </w:rPr>
        <w:t>evise 3.2.8 to use the singular “filing” and not “filings”</w:t>
      </w:r>
      <w:r>
        <w:rPr>
          <w:sz w:val="20"/>
          <w:szCs w:val="20"/>
        </w:rPr>
        <w:t>. (T</w:t>
      </w:r>
      <w:r>
        <w:rPr>
          <w:sz w:val="20"/>
          <w:szCs w:val="20"/>
        </w:rPr>
        <w:t>hese terms appear to have a consistent technical usage within section 3.2 ‘Business Rules’.</w:t>
      </w:r>
      <w:r>
        <w:rPr>
          <w:sz w:val="20"/>
          <w:szCs w:val="20"/>
        </w:rPr>
        <w:t>)</w:t>
      </w:r>
    </w:p>
    <w:p w14:paraId="4DB18F53" w14:textId="2FD44A2E" w:rsidR="00876357" w:rsidRDefault="00876357" w:rsidP="00951F14">
      <w:pPr>
        <w:spacing w:after="0"/>
        <w:ind w:left="270"/>
        <w:rPr>
          <w:sz w:val="20"/>
          <w:szCs w:val="20"/>
        </w:rPr>
      </w:pPr>
    </w:p>
    <w:p w14:paraId="7E2E972E" w14:textId="2F61B107" w:rsidR="00876357" w:rsidRDefault="00314C08" w:rsidP="00951F14">
      <w:pPr>
        <w:spacing w:after="0"/>
        <w:ind w:left="270"/>
        <w:rPr>
          <w:sz w:val="20"/>
          <w:szCs w:val="20"/>
        </w:rPr>
      </w:pPr>
      <w:r>
        <w:rPr>
          <w:sz w:val="20"/>
          <w:szCs w:val="20"/>
        </w:rPr>
        <w:t xml:space="preserve">b. </w:t>
      </w:r>
      <w:r w:rsidR="00876357">
        <w:rPr>
          <w:sz w:val="20"/>
          <w:szCs w:val="20"/>
        </w:rPr>
        <w:t>Develop visual cues, such a selective capitalization, italics, special fonts, etc. which are consistently applied to different usages of these terms.</w:t>
      </w:r>
    </w:p>
    <w:p w14:paraId="0252BB98" w14:textId="194D55DC" w:rsidR="00155154" w:rsidRDefault="00155154" w:rsidP="00951F14">
      <w:pPr>
        <w:spacing w:after="0"/>
        <w:ind w:left="270"/>
        <w:rPr>
          <w:sz w:val="20"/>
          <w:szCs w:val="20"/>
        </w:rPr>
      </w:pPr>
    </w:p>
    <w:p w14:paraId="46E388BA" w14:textId="0D9B6EDC" w:rsidR="0014081E" w:rsidRDefault="00314C08" w:rsidP="00951F14">
      <w:pPr>
        <w:spacing w:after="0"/>
        <w:ind w:left="270"/>
        <w:rPr>
          <w:sz w:val="20"/>
          <w:szCs w:val="20"/>
        </w:rPr>
      </w:pPr>
      <w:r>
        <w:rPr>
          <w:sz w:val="20"/>
          <w:szCs w:val="20"/>
        </w:rPr>
        <w:t xml:space="preserve">c. </w:t>
      </w:r>
      <w:r w:rsidR="0014081E">
        <w:rPr>
          <w:sz w:val="20"/>
          <w:szCs w:val="20"/>
        </w:rPr>
        <w:t xml:space="preserve">Review and </w:t>
      </w:r>
      <w:r w:rsidR="00EE5A25">
        <w:rPr>
          <w:sz w:val="20"/>
          <w:szCs w:val="20"/>
        </w:rPr>
        <w:t xml:space="preserve">revise if appropriate, </w:t>
      </w:r>
      <w:r w:rsidR="0014081E">
        <w:rPr>
          <w:sz w:val="20"/>
          <w:szCs w:val="20"/>
        </w:rPr>
        <w:t>the definitions provided in the Glossary.</w:t>
      </w:r>
    </w:p>
    <w:p w14:paraId="0B668376" w14:textId="77777777" w:rsidR="00155154" w:rsidRDefault="00155154" w:rsidP="007E41BB">
      <w:pPr>
        <w:spacing w:after="0"/>
        <w:rPr>
          <w:sz w:val="20"/>
          <w:szCs w:val="20"/>
        </w:rPr>
      </w:pPr>
    </w:p>
    <w:p w14:paraId="400A7CEE" w14:textId="6D678C7A" w:rsidR="00D0643C" w:rsidRDefault="00D0643C" w:rsidP="00951F14">
      <w:pPr>
        <w:spacing w:after="0"/>
        <w:ind w:left="270"/>
        <w:rPr>
          <w:sz w:val="20"/>
          <w:szCs w:val="20"/>
        </w:rPr>
      </w:pPr>
    </w:p>
    <w:p w14:paraId="3885123E" w14:textId="61BBFB23" w:rsidR="00D0643C" w:rsidRDefault="00951F14" w:rsidP="00E2458E">
      <w:pPr>
        <w:spacing w:after="0"/>
        <w:rPr>
          <w:sz w:val="20"/>
          <w:szCs w:val="20"/>
        </w:rPr>
      </w:pPr>
      <w:r>
        <w:rPr>
          <w:sz w:val="20"/>
          <w:szCs w:val="20"/>
        </w:rPr>
        <w:t>1</w:t>
      </w:r>
      <w:r w:rsidR="00255A4E">
        <w:rPr>
          <w:sz w:val="20"/>
          <w:szCs w:val="20"/>
        </w:rPr>
        <w:t>8</w:t>
      </w:r>
      <w:r>
        <w:rPr>
          <w:sz w:val="20"/>
          <w:szCs w:val="20"/>
        </w:rPr>
        <w:t>. Element description for CoreFilingMessage</w:t>
      </w:r>
    </w:p>
    <w:p w14:paraId="448B3F5B" w14:textId="2D0A527D" w:rsidR="00951F14" w:rsidRDefault="00951F14" w:rsidP="00E2458E">
      <w:pPr>
        <w:spacing w:after="0"/>
        <w:rPr>
          <w:sz w:val="20"/>
          <w:szCs w:val="20"/>
        </w:rPr>
      </w:pPr>
    </w:p>
    <w:p w14:paraId="000B4361" w14:textId="5C52977C" w:rsidR="00951F14" w:rsidRDefault="00951F14" w:rsidP="00951F14">
      <w:pPr>
        <w:spacing w:after="0"/>
        <w:ind w:left="270"/>
        <w:rPr>
          <w:sz w:val="20"/>
          <w:szCs w:val="20"/>
        </w:rPr>
      </w:pPr>
      <w:r>
        <w:rPr>
          <w:sz w:val="20"/>
          <w:szCs w:val="20"/>
        </w:rPr>
        <w:t>The xsd:documentation element for CoreFilingMessage in ECF-4.1-CoreFilingMessage.xsd reads:</w:t>
      </w:r>
    </w:p>
    <w:p w14:paraId="678A490F" w14:textId="7585EFA0" w:rsidR="00951F14" w:rsidRPr="00951F14" w:rsidRDefault="00951F14" w:rsidP="00951F14">
      <w:pPr>
        <w:spacing w:after="0"/>
        <w:ind w:left="270"/>
        <w:rPr>
          <w:color w:val="0070C0"/>
          <w:sz w:val="20"/>
          <w:szCs w:val="20"/>
        </w:rPr>
      </w:pPr>
      <w:r w:rsidRPr="00951F14">
        <w:rPr>
          <w:color w:val="0070C0"/>
          <w:sz w:val="20"/>
          <w:szCs w:val="20"/>
        </w:rPr>
        <w:t>The structure of a Filing including any Payment Information will be documented in this section. This describes the filing transaction between the Filing Assembly MDE and the Filing Review MDE. This information will become part of the Record Docketing between the Filing Review MDE and the Court Record MDE but does not necessarily describe the information that is actually stored in the Court Record.</w:t>
      </w:r>
    </w:p>
    <w:p w14:paraId="5682B6CC" w14:textId="2E46BBF2" w:rsidR="00951F14" w:rsidRDefault="00951F14" w:rsidP="00951F14">
      <w:pPr>
        <w:spacing w:after="0"/>
        <w:ind w:left="270"/>
        <w:rPr>
          <w:sz w:val="20"/>
          <w:szCs w:val="20"/>
        </w:rPr>
      </w:pPr>
    </w:p>
    <w:p w14:paraId="6AA4FF44" w14:textId="04E502B6" w:rsidR="00951F14" w:rsidRDefault="00951F14" w:rsidP="00951F14">
      <w:pPr>
        <w:spacing w:after="0"/>
        <w:ind w:left="270"/>
        <w:rPr>
          <w:sz w:val="20"/>
          <w:szCs w:val="20"/>
        </w:rPr>
      </w:pPr>
      <w:r>
        <w:rPr>
          <w:sz w:val="20"/>
          <w:szCs w:val="20"/>
        </w:rPr>
        <w:t>Since Payment information is not provided in CoreFilingMessage and is provided in the separate PaymentMessage, the description (above) should be corrected.</w:t>
      </w:r>
    </w:p>
    <w:p w14:paraId="60A5C1E7" w14:textId="520CB2AF" w:rsidR="0096016B" w:rsidRDefault="0096016B" w:rsidP="00951F14">
      <w:pPr>
        <w:spacing w:after="0"/>
        <w:ind w:left="270"/>
        <w:rPr>
          <w:sz w:val="20"/>
          <w:szCs w:val="20"/>
        </w:rPr>
      </w:pPr>
    </w:p>
    <w:p w14:paraId="4C2FD684" w14:textId="12162B61" w:rsidR="0096016B" w:rsidRDefault="0096016B" w:rsidP="00951F14">
      <w:pPr>
        <w:spacing w:after="0"/>
        <w:ind w:left="270"/>
        <w:rPr>
          <w:sz w:val="20"/>
          <w:szCs w:val="20"/>
        </w:rPr>
      </w:pPr>
      <w:r>
        <w:rPr>
          <w:sz w:val="20"/>
          <w:szCs w:val="20"/>
        </w:rPr>
        <w:t xml:space="preserve">Furthermore, CoreFilingMessage </w:t>
      </w:r>
      <w:r w:rsidR="00C561A6">
        <w:rPr>
          <w:sz w:val="20"/>
          <w:szCs w:val="20"/>
        </w:rPr>
        <w:t xml:space="preserve">(CFM) </w:t>
      </w:r>
      <w:r>
        <w:rPr>
          <w:sz w:val="20"/>
          <w:szCs w:val="20"/>
        </w:rPr>
        <w:t>not only appears in the RvFR (ReviewFilingRequest) and RFR (RecordFilingRequest), it also appears in FeeesCalculationQueryMessage.</w:t>
      </w:r>
      <w:r w:rsidR="00C561A6">
        <w:rPr>
          <w:sz w:val="20"/>
          <w:szCs w:val="20"/>
        </w:rPr>
        <w:t xml:space="preserve"> As such, the words “this describes the filing transaction between the Filing Assembly MDE and the Filing Review MDE” are not accurate </w:t>
      </w:r>
      <w:r w:rsidR="002369C8">
        <w:rPr>
          <w:sz w:val="20"/>
          <w:szCs w:val="20"/>
        </w:rPr>
        <w:t>for</w:t>
      </w:r>
      <w:r w:rsidR="00C561A6">
        <w:rPr>
          <w:sz w:val="20"/>
          <w:szCs w:val="20"/>
        </w:rPr>
        <w:t xml:space="preserve"> all usages for CoreFilingMessage, as it appears to exclude FeesCalculationQueryMessage. In the FeesCalculationQueryMessage, CFM is, at best, only a prospective (e.g., potential) filing.</w:t>
      </w:r>
    </w:p>
    <w:p w14:paraId="6C4C44BD" w14:textId="58A301B3" w:rsidR="00C561A6" w:rsidRDefault="00C561A6" w:rsidP="00951F14">
      <w:pPr>
        <w:spacing w:after="0"/>
        <w:ind w:left="270"/>
        <w:rPr>
          <w:sz w:val="20"/>
          <w:szCs w:val="20"/>
        </w:rPr>
      </w:pPr>
    </w:p>
    <w:p w14:paraId="008515B6" w14:textId="64168DAC" w:rsidR="0009770C" w:rsidRDefault="0009770C" w:rsidP="00951F14">
      <w:pPr>
        <w:spacing w:after="0"/>
        <w:ind w:left="270"/>
        <w:rPr>
          <w:sz w:val="20"/>
          <w:szCs w:val="20"/>
        </w:rPr>
      </w:pPr>
      <w:r>
        <w:rPr>
          <w:sz w:val="20"/>
          <w:szCs w:val="20"/>
        </w:rPr>
        <w:t>Recommendation:</w:t>
      </w:r>
    </w:p>
    <w:p w14:paraId="5045FB31" w14:textId="77777777" w:rsidR="0009770C" w:rsidRDefault="0009770C" w:rsidP="00951F14">
      <w:pPr>
        <w:spacing w:after="0"/>
        <w:ind w:left="270"/>
        <w:rPr>
          <w:sz w:val="20"/>
          <w:szCs w:val="20"/>
        </w:rPr>
      </w:pPr>
    </w:p>
    <w:p w14:paraId="2BD430A8" w14:textId="0037B2EA" w:rsidR="00C561A6" w:rsidRDefault="00C561A6" w:rsidP="00951F14">
      <w:pPr>
        <w:spacing w:after="0"/>
        <w:ind w:left="270"/>
        <w:rPr>
          <w:sz w:val="20"/>
          <w:szCs w:val="20"/>
        </w:rPr>
      </w:pPr>
      <w:r>
        <w:rPr>
          <w:sz w:val="20"/>
          <w:szCs w:val="20"/>
        </w:rPr>
        <w:t>Both issues may be corrected by the following rewording:</w:t>
      </w:r>
    </w:p>
    <w:p w14:paraId="3E7F4040" w14:textId="4033EFE7" w:rsidR="00C561A6" w:rsidRPr="00C561A6" w:rsidRDefault="00C561A6" w:rsidP="00C561A6">
      <w:pPr>
        <w:spacing w:after="0"/>
        <w:ind w:left="270"/>
        <w:rPr>
          <w:color w:val="833C0B" w:themeColor="accent2" w:themeShade="80"/>
          <w:sz w:val="20"/>
          <w:szCs w:val="20"/>
        </w:rPr>
      </w:pPr>
      <w:r w:rsidRPr="00C561A6">
        <w:rPr>
          <w:color w:val="833C0B" w:themeColor="accent2" w:themeShade="80"/>
          <w:sz w:val="20"/>
          <w:szCs w:val="20"/>
        </w:rPr>
        <w:t xml:space="preserve">The structure of a Filing will be documented in this section. This describes the </w:t>
      </w:r>
      <w:r w:rsidRPr="00C561A6">
        <w:rPr>
          <w:color w:val="C00000"/>
          <w:sz w:val="20"/>
          <w:szCs w:val="20"/>
        </w:rPr>
        <w:t xml:space="preserve">proposed or </w:t>
      </w:r>
      <w:r>
        <w:rPr>
          <w:color w:val="833C0B" w:themeColor="accent2" w:themeShade="80"/>
          <w:sz w:val="20"/>
          <w:szCs w:val="20"/>
        </w:rPr>
        <w:t xml:space="preserve">actual </w:t>
      </w:r>
      <w:r w:rsidRPr="00C561A6">
        <w:rPr>
          <w:color w:val="833C0B" w:themeColor="accent2" w:themeShade="80"/>
          <w:sz w:val="20"/>
          <w:szCs w:val="20"/>
        </w:rPr>
        <w:t xml:space="preserve">filing transaction between the Filing Assembly MDE and the Filing Review MDE. This information </w:t>
      </w:r>
      <w:r w:rsidRPr="00C561A6">
        <w:rPr>
          <w:color w:val="C00000"/>
          <w:sz w:val="20"/>
          <w:szCs w:val="20"/>
        </w:rPr>
        <w:t>may</w:t>
      </w:r>
      <w:r w:rsidRPr="00C561A6">
        <w:rPr>
          <w:color w:val="833C0B" w:themeColor="accent2" w:themeShade="80"/>
          <w:sz w:val="20"/>
          <w:szCs w:val="20"/>
        </w:rPr>
        <w:t xml:space="preserve"> become part of the Record Docketing between the Filing Review MDE and the Court Record MDE but does not necessarily describe the information that </w:t>
      </w:r>
      <w:r w:rsidR="00307B61" w:rsidRPr="00307B61">
        <w:rPr>
          <w:color w:val="C00000"/>
          <w:sz w:val="20"/>
          <w:szCs w:val="20"/>
        </w:rPr>
        <w:t>may be</w:t>
      </w:r>
      <w:r w:rsidRPr="00307B61">
        <w:rPr>
          <w:color w:val="C00000"/>
          <w:sz w:val="20"/>
          <w:szCs w:val="20"/>
        </w:rPr>
        <w:t xml:space="preserve"> </w:t>
      </w:r>
      <w:r w:rsidRPr="00C561A6">
        <w:rPr>
          <w:color w:val="833C0B" w:themeColor="accent2" w:themeShade="80"/>
          <w:sz w:val="20"/>
          <w:szCs w:val="20"/>
        </w:rPr>
        <w:t>actually stored in the Court Record.</w:t>
      </w:r>
    </w:p>
    <w:p w14:paraId="73D77C7E" w14:textId="77777777" w:rsidR="00C561A6" w:rsidRDefault="00C561A6" w:rsidP="00951F14">
      <w:pPr>
        <w:spacing w:after="0"/>
        <w:ind w:left="270"/>
        <w:rPr>
          <w:sz w:val="20"/>
          <w:szCs w:val="20"/>
        </w:rPr>
      </w:pPr>
    </w:p>
    <w:p w14:paraId="2B529917" w14:textId="77777777" w:rsidR="00951F14" w:rsidRDefault="00951F14" w:rsidP="00E2458E">
      <w:pPr>
        <w:spacing w:after="0"/>
        <w:rPr>
          <w:sz w:val="20"/>
          <w:szCs w:val="20"/>
        </w:rPr>
      </w:pPr>
    </w:p>
    <w:p w14:paraId="25420525" w14:textId="6D5C3F87" w:rsidR="00951F14" w:rsidRDefault="00951F14" w:rsidP="00E2458E">
      <w:pPr>
        <w:spacing w:after="0"/>
        <w:rPr>
          <w:sz w:val="20"/>
          <w:szCs w:val="20"/>
        </w:rPr>
      </w:pPr>
      <w:r>
        <w:rPr>
          <w:sz w:val="20"/>
          <w:szCs w:val="20"/>
        </w:rPr>
        <w:t>1</w:t>
      </w:r>
      <w:r w:rsidR="00255A4E">
        <w:rPr>
          <w:sz w:val="20"/>
          <w:szCs w:val="20"/>
        </w:rPr>
        <w:t>9</w:t>
      </w:r>
      <w:r>
        <w:rPr>
          <w:sz w:val="20"/>
          <w:szCs w:val="20"/>
        </w:rPr>
        <w:t xml:space="preserve">. </w:t>
      </w:r>
      <w:r w:rsidR="00506241">
        <w:rPr>
          <w:sz w:val="20"/>
          <w:szCs w:val="20"/>
        </w:rPr>
        <w:t xml:space="preserve"> Typo – line 7 in section 1.1 ‘Scope’</w:t>
      </w:r>
    </w:p>
    <w:p w14:paraId="598F0D2D" w14:textId="5FF9632B" w:rsidR="00506241" w:rsidRDefault="00506241" w:rsidP="00E2458E">
      <w:pPr>
        <w:spacing w:after="0"/>
        <w:rPr>
          <w:sz w:val="20"/>
          <w:szCs w:val="20"/>
        </w:rPr>
      </w:pPr>
    </w:p>
    <w:p w14:paraId="7D5E5111" w14:textId="3C180B43" w:rsidR="00506241" w:rsidRDefault="00506241" w:rsidP="00220F5B">
      <w:pPr>
        <w:spacing w:after="0"/>
        <w:ind w:left="270"/>
        <w:rPr>
          <w:sz w:val="20"/>
          <w:szCs w:val="20"/>
        </w:rPr>
      </w:pPr>
      <w:r>
        <w:rPr>
          <w:sz w:val="20"/>
          <w:szCs w:val="20"/>
        </w:rPr>
        <w:t>A space character appears to be missing between the words “system” and “and” in “</w:t>
      </w:r>
      <w:r w:rsidRPr="00506241">
        <w:rPr>
          <w:color w:val="0070C0"/>
          <w:sz w:val="20"/>
          <w:szCs w:val="20"/>
        </w:rPr>
        <w:t>This specification describes the technical architecture and the functional features needed to accomplish a successful electronic court filing system,and defines both the normative (required) and non-normative (optional) business processes it supports</w:t>
      </w:r>
      <w:r w:rsidRPr="00506241">
        <w:rPr>
          <w:sz w:val="20"/>
          <w:szCs w:val="20"/>
        </w:rPr>
        <w:t>.</w:t>
      </w:r>
      <w:r>
        <w:rPr>
          <w:sz w:val="20"/>
          <w:szCs w:val="20"/>
        </w:rPr>
        <w:t>”</w:t>
      </w:r>
      <w:r w:rsidRPr="00506241">
        <w:rPr>
          <w:sz w:val="20"/>
          <w:szCs w:val="20"/>
        </w:rPr>
        <w:t xml:space="preserve">  </w:t>
      </w:r>
    </w:p>
    <w:p w14:paraId="45351AA2" w14:textId="23D92EBE" w:rsidR="00D0643C" w:rsidRDefault="00D0643C" w:rsidP="00E2458E">
      <w:pPr>
        <w:spacing w:after="0"/>
        <w:rPr>
          <w:sz w:val="20"/>
          <w:szCs w:val="20"/>
        </w:rPr>
      </w:pPr>
    </w:p>
    <w:p w14:paraId="672E969B" w14:textId="77777777" w:rsidR="00272422" w:rsidRDefault="00272422" w:rsidP="00272422">
      <w:pPr>
        <w:spacing w:after="0"/>
        <w:ind w:left="270"/>
        <w:rPr>
          <w:sz w:val="20"/>
          <w:szCs w:val="20"/>
        </w:rPr>
      </w:pPr>
      <w:r>
        <w:rPr>
          <w:sz w:val="20"/>
          <w:szCs w:val="20"/>
        </w:rPr>
        <w:lastRenderedPageBreak/>
        <w:t>Recommendation:  Add a space between “…court filing system,” and “add defined both…”, as in “</w:t>
      </w:r>
      <w:r w:rsidRPr="00506241">
        <w:rPr>
          <w:color w:val="0070C0"/>
          <w:sz w:val="20"/>
          <w:szCs w:val="20"/>
        </w:rPr>
        <w:t>This specification describes the technical architecture and the functional features needed to accomplish a successful electronic court filing system,</w:t>
      </w:r>
      <w:r>
        <w:rPr>
          <w:color w:val="0070C0"/>
          <w:sz w:val="20"/>
          <w:szCs w:val="20"/>
        </w:rPr>
        <w:t xml:space="preserve"> </w:t>
      </w:r>
      <w:r w:rsidRPr="00506241">
        <w:rPr>
          <w:color w:val="0070C0"/>
          <w:sz w:val="20"/>
          <w:szCs w:val="20"/>
        </w:rPr>
        <w:t>and defines both the normative (required) and non-normative (optional) business processes it supports</w:t>
      </w:r>
      <w:r w:rsidRPr="00506241">
        <w:rPr>
          <w:sz w:val="20"/>
          <w:szCs w:val="20"/>
        </w:rPr>
        <w:t>.</w:t>
      </w:r>
      <w:r>
        <w:rPr>
          <w:sz w:val="20"/>
          <w:szCs w:val="20"/>
        </w:rPr>
        <w:t>”</w:t>
      </w:r>
    </w:p>
    <w:p w14:paraId="5DE2F71A" w14:textId="77777777" w:rsidR="00272422" w:rsidRDefault="00272422" w:rsidP="00E2458E">
      <w:pPr>
        <w:spacing w:after="0"/>
        <w:rPr>
          <w:sz w:val="20"/>
          <w:szCs w:val="20"/>
        </w:rPr>
      </w:pPr>
    </w:p>
    <w:p w14:paraId="04517A3C" w14:textId="77777777" w:rsidR="009A0AB7" w:rsidRDefault="009A0AB7" w:rsidP="00E2458E">
      <w:pPr>
        <w:spacing w:after="0"/>
        <w:rPr>
          <w:sz w:val="20"/>
          <w:szCs w:val="20"/>
        </w:rPr>
      </w:pPr>
    </w:p>
    <w:p w14:paraId="6A374399" w14:textId="0B692C30" w:rsidR="004E231A" w:rsidRDefault="008863AC" w:rsidP="00E2458E">
      <w:pPr>
        <w:spacing w:after="0"/>
        <w:rPr>
          <w:sz w:val="20"/>
          <w:szCs w:val="20"/>
        </w:rPr>
      </w:pPr>
      <w:r>
        <w:rPr>
          <w:sz w:val="20"/>
          <w:szCs w:val="20"/>
        </w:rPr>
        <w:t>20</w:t>
      </w:r>
      <w:r w:rsidR="009501A7">
        <w:rPr>
          <w:sz w:val="20"/>
          <w:szCs w:val="20"/>
        </w:rPr>
        <w:t>.</w:t>
      </w:r>
      <w:r w:rsidR="004E231A">
        <w:rPr>
          <w:sz w:val="20"/>
          <w:szCs w:val="20"/>
        </w:rPr>
        <w:t xml:space="preserve"> Cardinality for RecordDocketing</w:t>
      </w:r>
      <w:r w:rsidR="00AB61A5">
        <w:rPr>
          <w:sz w:val="20"/>
          <w:szCs w:val="20"/>
        </w:rPr>
        <w:t>Callback</w:t>
      </w:r>
      <w:r w:rsidR="004E231A">
        <w:rPr>
          <w:sz w:val="20"/>
          <w:szCs w:val="20"/>
        </w:rPr>
        <w:t xml:space="preserve">Message within </w:t>
      </w:r>
      <w:r w:rsidR="00AB61A5">
        <w:rPr>
          <w:sz w:val="20"/>
          <w:szCs w:val="20"/>
        </w:rPr>
        <w:t>NotifyDocketingComplete</w:t>
      </w:r>
    </w:p>
    <w:p w14:paraId="771824BC" w14:textId="74463076" w:rsidR="004E231A" w:rsidRDefault="004E231A" w:rsidP="00E2458E">
      <w:pPr>
        <w:spacing w:after="0"/>
        <w:rPr>
          <w:sz w:val="20"/>
          <w:szCs w:val="20"/>
        </w:rPr>
      </w:pPr>
    </w:p>
    <w:p w14:paraId="43BE1BEC" w14:textId="3E3C5F6A" w:rsidR="004E231A" w:rsidRDefault="00AB61A5" w:rsidP="004E231A">
      <w:pPr>
        <w:spacing w:after="0"/>
        <w:ind w:left="270"/>
        <w:rPr>
          <w:sz w:val="20"/>
          <w:szCs w:val="20"/>
        </w:rPr>
      </w:pPr>
      <w:r>
        <w:rPr>
          <w:sz w:val="20"/>
          <w:szCs w:val="20"/>
        </w:rPr>
        <w:t>Even though w</w:t>
      </w:r>
      <w:r w:rsidR="004E231A">
        <w:rPr>
          <w:sz w:val="20"/>
          <w:szCs w:val="20"/>
        </w:rPr>
        <w:t>rappers.xsd permits unlimited RecordDocketingMessages within a Re</w:t>
      </w:r>
      <w:r w:rsidR="00903879">
        <w:rPr>
          <w:sz w:val="20"/>
          <w:szCs w:val="20"/>
        </w:rPr>
        <w:t>cord</w:t>
      </w:r>
      <w:r w:rsidR="004E231A">
        <w:rPr>
          <w:sz w:val="20"/>
          <w:szCs w:val="20"/>
        </w:rPr>
        <w:t>FilingRequest.</w:t>
      </w:r>
      <w:r>
        <w:rPr>
          <w:sz w:val="20"/>
          <w:szCs w:val="20"/>
        </w:rPr>
        <w:t>,</w:t>
      </w:r>
      <w:r w:rsidR="004E231A">
        <w:rPr>
          <w:sz w:val="20"/>
          <w:szCs w:val="20"/>
        </w:rPr>
        <w:t xml:space="preserve"> </w:t>
      </w:r>
      <w:r>
        <w:rPr>
          <w:sz w:val="20"/>
          <w:szCs w:val="20"/>
        </w:rPr>
        <w:t>o</w:t>
      </w:r>
      <w:r w:rsidR="004E231A">
        <w:rPr>
          <w:sz w:val="20"/>
          <w:szCs w:val="20"/>
        </w:rPr>
        <w:t xml:space="preserve">ne RecordDocketingMessage </w:t>
      </w:r>
      <w:r w:rsidR="00903879">
        <w:rPr>
          <w:sz w:val="20"/>
          <w:szCs w:val="20"/>
        </w:rPr>
        <w:t xml:space="preserve">(with a single ReviewedLeadDocument) </w:t>
      </w:r>
      <w:r w:rsidR="004E231A">
        <w:rPr>
          <w:sz w:val="20"/>
          <w:szCs w:val="20"/>
        </w:rPr>
        <w:t>for each FilingLeadDocument within CoreFilingMessage</w:t>
      </w:r>
      <w:r>
        <w:rPr>
          <w:sz w:val="20"/>
          <w:szCs w:val="20"/>
        </w:rPr>
        <w:t xml:space="preserve">, only one RecordDocketingCallbackMessage is allowed </w:t>
      </w:r>
      <w:r w:rsidR="00903879">
        <w:rPr>
          <w:sz w:val="20"/>
          <w:szCs w:val="20"/>
        </w:rPr>
        <w:t>within a single NotifyDocketingComplete.</w:t>
      </w:r>
    </w:p>
    <w:p w14:paraId="2D6444CE" w14:textId="77777777" w:rsidR="004E231A" w:rsidRDefault="004E231A" w:rsidP="00105B0D">
      <w:pPr>
        <w:spacing w:after="0"/>
        <w:rPr>
          <w:sz w:val="20"/>
          <w:szCs w:val="20"/>
        </w:rPr>
      </w:pPr>
    </w:p>
    <w:p w14:paraId="5D22F164" w14:textId="64BBC55E" w:rsidR="00903879" w:rsidRDefault="00903879" w:rsidP="004E231A">
      <w:pPr>
        <w:spacing w:after="0"/>
        <w:ind w:left="270"/>
        <w:rPr>
          <w:sz w:val="20"/>
          <w:szCs w:val="20"/>
        </w:rPr>
      </w:pPr>
      <w:r>
        <w:rPr>
          <w:sz w:val="20"/>
          <w:szCs w:val="20"/>
        </w:rPr>
        <w:t>A single RecordDocketingCallbackMessage can report on docketing results for a single ReviewedLeadDocument</w:t>
      </w:r>
      <w:r w:rsidR="00E874A7">
        <w:rPr>
          <w:sz w:val="20"/>
          <w:szCs w:val="20"/>
        </w:rPr>
        <w:t xml:space="preserve"> only</w:t>
      </w:r>
      <w:r>
        <w:rPr>
          <w:sz w:val="20"/>
          <w:szCs w:val="20"/>
        </w:rPr>
        <w:t xml:space="preserve">. </w:t>
      </w:r>
    </w:p>
    <w:p w14:paraId="756676B6" w14:textId="76E51721" w:rsidR="00903879" w:rsidRDefault="00903879" w:rsidP="00670FE7">
      <w:pPr>
        <w:spacing w:after="0"/>
        <w:rPr>
          <w:sz w:val="20"/>
          <w:szCs w:val="20"/>
        </w:rPr>
      </w:pPr>
    </w:p>
    <w:p w14:paraId="21449F1E" w14:textId="1818FC46" w:rsidR="002F1BA4" w:rsidRDefault="002F1BA4" w:rsidP="002F1BA4">
      <w:pPr>
        <w:spacing w:after="0"/>
        <w:ind w:left="270"/>
        <w:rPr>
          <w:sz w:val="20"/>
          <w:szCs w:val="20"/>
        </w:rPr>
      </w:pPr>
      <w:r>
        <w:rPr>
          <w:sz w:val="20"/>
          <w:szCs w:val="20"/>
        </w:rPr>
        <w:t>There is no place within the prose specification where the number of Re</w:t>
      </w:r>
      <w:r>
        <w:rPr>
          <w:sz w:val="20"/>
          <w:szCs w:val="20"/>
        </w:rPr>
        <w:t>cordDocketing</w:t>
      </w:r>
      <w:r>
        <w:rPr>
          <w:sz w:val="20"/>
          <w:szCs w:val="20"/>
        </w:rPr>
        <w:t>CallbackMessages permitted within a call to the Notify</w:t>
      </w:r>
      <w:r>
        <w:rPr>
          <w:sz w:val="20"/>
          <w:szCs w:val="20"/>
        </w:rPr>
        <w:t>Docketing</w:t>
      </w:r>
      <w:r>
        <w:rPr>
          <w:sz w:val="20"/>
          <w:szCs w:val="20"/>
        </w:rPr>
        <w:t>Complete operation is ever stated. In section C.</w:t>
      </w:r>
      <w:r>
        <w:rPr>
          <w:sz w:val="20"/>
          <w:szCs w:val="20"/>
        </w:rPr>
        <w:t>2</w:t>
      </w:r>
      <w:r>
        <w:rPr>
          <w:sz w:val="20"/>
          <w:szCs w:val="20"/>
        </w:rPr>
        <w:t xml:space="preserve">.1 ‘Provided Operation’ for Filing </w:t>
      </w:r>
      <w:r>
        <w:rPr>
          <w:sz w:val="20"/>
          <w:szCs w:val="20"/>
        </w:rPr>
        <w:t>Review</w:t>
      </w:r>
      <w:r>
        <w:rPr>
          <w:sz w:val="20"/>
          <w:szCs w:val="20"/>
        </w:rPr>
        <w:t xml:space="preserve"> MDE within Appendix C. ‘(Informative) MDE Operations’, </w:t>
      </w:r>
      <w:r>
        <w:rPr>
          <w:sz w:val="20"/>
          <w:szCs w:val="20"/>
        </w:rPr>
        <w:t xml:space="preserve">operation invocation </w:t>
      </w:r>
      <w:r>
        <w:rPr>
          <w:sz w:val="20"/>
          <w:szCs w:val="20"/>
        </w:rPr>
        <w:t>parameters are provided.</w:t>
      </w:r>
      <w:r w:rsidR="00FC2EA9">
        <w:rPr>
          <w:sz w:val="20"/>
          <w:szCs w:val="20"/>
        </w:rPr>
        <w:t xml:space="preserve"> Note however that this is not normative.</w:t>
      </w:r>
      <w:r w:rsidR="00D02D7C">
        <w:rPr>
          <w:sz w:val="20"/>
          <w:szCs w:val="20"/>
        </w:rPr>
        <w:t xml:space="preserve"> To wit, see ECF TC email #436363, Jan. 14, 2014, (</w:t>
      </w:r>
      <w:hyperlink r:id="rId7" w:history="1">
        <w:r w:rsidR="00D02D7C" w:rsidRPr="00C406C9">
          <w:rPr>
            <w:rStyle w:val="Hyperlink"/>
            <w:sz w:val="20"/>
            <w:szCs w:val="20"/>
          </w:rPr>
          <w:t>https://www.oasis-open.org/apps/org/workgroup/legalxml-courtfiling/email/archives/201401/msg00005.html</w:t>
        </w:r>
      </w:hyperlink>
      <w:r w:rsidR="00D02D7C">
        <w:rPr>
          <w:sz w:val="20"/>
          <w:szCs w:val="20"/>
        </w:rPr>
        <w:t xml:space="preserve">) which raises this issue during the “IJIS Springboard Initiative”. </w:t>
      </w:r>
    </w:p>
    <w:p w14:paraId="078F3487" w14:textId="1BDED4C5" w:rsidR="00BC4492" w:rsidRDefault="00BC4492" w:rsidP="00D02D7C">
      <w:pPr>
        <w:spacing w:after="0"/>
        <w:rPr>
          <w:sz w:val="20"/>
          <w:szCs w:val="20"/>
        </w:rPr>
      </w:pPr>
    </w:p>
    <w:p w14:paraId="5C7288A5" w14:textId="1AE788AF" w:rsidR="00BC4492" w:rsidRDefault="00BC4492" w:rsidP="00BC4492">
      <w:pPr>
        <w:spacing w:after="0"/>
        <w:ind w:left="270"/>
        <w:rPr>
          <w:sz w:val="20"/>
          <w:szCs w:val="20"/>
        </w:rPr>
      </w:pPr>
      <w:r>
        <w:rPr>
          <w:sz w:val="20"/>
          <w:szCs w:val="20"/>
        </w:rPr>
        <w:t xml:space="preserve">For NotifyDocketingComplete, the </w:t>
      </w:r>
      <w:r w:rsidR="009A13C2">
        <w:rPr>
          <w:sz w:val="20"/>
          <w:szCs w:val="20"/>
        </w:rPr>
        <w:t xml:space="preserve">invocation </w:t>
      </w:r>
      <w:r>
        <w:rPr>
          <w:sz w:val="20"/>
          <w:szCs w:val="20"/>
        </w:rPr>
        <w:t xml:space="preserve">parameter is RecordDocketingCallbackMessage. </w:t>
      </w:r>
      <w:r>
        <w:rPr>
          <w:sz w:val="20"/>
          <w:szCs w:val="20"/>
        </w:rPr>
        <w:t xml:space="preserve">Whether </w:t>
      </w:r>
      <w:r>
        <w:rPr>
          <w:sz w:val="20"/>
          <w:szCs w:val="20"/>
        </w:rPr>
        <w:t>th</w:t>
      </w:r>
      <w:r w:rsidR="00670FE7">
        <w:rPr>
          <w:sz w:val="20"/>
          <w:szCs w:val="20"/>
        </w:rPr>
        <w:t>is</w:t>
      </w:r>
      <w:r>
        <w:rPr>
          <w:sz w:val="20"/>
          <w:szCs w:val="20"/>
        </w:rPr>
        <w:t xml:space="preserve"> </w:t>
      </w:r>
      <w:r>
        <w:rPr>
          <w:sz w:val="20"/>
          <w:szCs w:val="20"/>
        </w:rPr>
        <w:t>parameter is required</w:t>
      </w:r>
      <w:r>
        <w:rPr>
          <w:sz w:val="20"/>
          <w:szCs w:val="20"/>
        </w:rPr>
        <w:t xml:space="preserve"> (or </w:t>
      </w:r>
      <w:r w:rsidR="00670FE7">
        <w:rPr>
          <w:sz w:val="20"/>
          <w:szCs w:val="20"/>
        </w:rPr>
        <w:t xml:space="preserve">is </w:t>
      </w:r>
      <w:r>
        <w:rPr>
          <w:sz w:val="20"/>
          <w:szCs w:val="20"/>
        </w:rPr>
        <w:t>optional)</w:t>
      </w:r>
      <w:r>
        <w:rPr>
          <w:sz w:val="20"/>
          <w:szCs w:val="20"/>
        </w:rPr>
        <w:t xml:space="preserve">, and how many instances of </w:t>
      </w:r>
      <w:r>
        <w:rPr>
          <w:sz w:val="20"/>
          <w:szCs w:val="20"/>
        </w:rPr>
        <w:t>the</w:t>
      </w:r>
      <w:r>
        <w:rPr>
          <w:sz w:val="20"/>
          <w:szCs w:val="20"/>
        </w:rPr>
        <w:t xml:space="preserve"> specific parameter are allowed is never expressed. As such, for the information presented in the prose specification, it seems, </w:t>
      </w:r>
      <w:r w:rsidR="00B36F6D">
        <w:rPr>
          <w:sz w:val="20"/>
          <w:szCs w:val="20"/>
        </w:rPr>
        <w:t>these choices are</w:t>
      </w:r>
      <w:r>
        <w:rPr>
          <w:sz w:val="20"/>
          <w:szCs w:val="20"/>
        </w:rPr>
        <w:t xml:space="preserve"> implementation dependent.</w:t>
      </w:r>
    </w:p>
    <w:p w14:paraId="4E95461C" w14:textId="30F11BA0" w:rsidR="00BC4492" w:rsidRDefault="00BC4492" w:rsidP="002F1BA4">
      <w:pPr>
        <w:spacing w:after="0"/>
        <w:ind w:left="270"/>
        <w:rPr>
          <w:sz w:val="20"/>
          <w:szCs w:val="20"/>
        </w:rPr>
      </w:pPr>
    </w:p>
    <w:p w14:paraId="5092E03D" w14:textId="443A0D74" w:rsidR="00670FE7" w:rsidRDefault="00670FE7" w:rsidP="00670FE7">
      <w:pPr>
        <w:spacing w:after="0"/>
        <w:ind w:left="270"/>
        <w:rPr>
          <w:sz w:val="20"/>
          <w:szCs w:val="20"/>
        </w:rPr>
      </w:pPr>
      <w:r>
        <w:rPr>
          <w:sz w:val="20"/>
          <w:szCs w:val="20"/>
        </w:rPr>
        <w:t>W</w:t>
      </w:r>
      <w:r>
        <w:rPr>
          <w:sz w:val="20"/>
          <w:szCs w:val="20"/>
        </w:rPr>
        <w:t xml:space="preserve">henever multiple ReviewedLeadDocuments are present within a single RecordFilingRequest, then either </w:t>
      </w:r>
      <w:r>
        <w:rPr>
          <w:sz w:val="20"/>
          <w:szCs w:val="20"/>
        </w:rPr>
        <w:t xml:space="preserve">(1) </w:t>
      </w:r>
      <w:r>
        <w:rPr>
          <w:sz w:val="20"/>
          <w:szCs w:val="20"/>
        </w:rPr>
        <w:t xml:space="preserve">multiple invocations of NotifyDocketingComplete are required (one for each ReviewedLeadDocument) or </w:t>
      </w:r>
      <w:r>
        <w:rPr>
          <w:sz w:val="20"/>
          <w:szCs w:val="20"/>
        </w:rPr>
        <w:t xml:space="preserve">(2) </w:t>
      </w:r>
      <w:r>
        <w:rPr>
          <w:sz w:val="20"/>
          <w:szCs w:val="20"/>
        </w:rPr>
        <w:t>a single NotifyDocketingComplete request must be allowed to provide multiple RecordDocketingCallbackMessages.</w:t>
      </w:r>
    </w:p>
    <w:p w14:paraId="1AAA575F" w14:textId="13E6934F" w:rsidR="00670FE7" w:rsidRDefault="00670FE7" w:rsidP="00670FE7">
      <w:pPr>
        <w:spacing w:after="0"/>
        <w:ind w:left="270"/>
        <w:rPr>
          <w:sz w:val="20"/>
          <w:szCs w:val="20"/>
        </w:rPr>
      </w:pPr>
    </w:p>
    <w:p w14:paraId="0FADEF3B" w14:textId="5DA1BB88" w:rsidR="00670FE7" w:rsidRDefault="00670FE7" w:rsidP="00670FE7">
      <w:pPr>
        <w:spacing w:after="0"/>
        <w:ind w:left="270"/>
        <w:rPr>
          <w:sz w:val="20"/>
          <w:szCs w:val="20"/>
        </w:rPr>
      </w:pPr>
      <w:r>
        <w:rPr>
          <w:sz w:val="20"/>
          <w:szCs w:val="20"/>
        </w:rPr>
        <w:t>With ECF v4.1, when using wrappers.xsd, only the first option presented above is available</w:t>
      </w:r>
      <w:r w:rsidR="00604020">
        <w:rPr>
          <w:sz w:val="20"/>
          <w:szCs w:val="20"/>
        </w:rPr>
        <w:t>,</w:t>
      </w:r>
      <w:r>
        <w:rPr>
          <w:sz w:val="20"/>
          <w:szCs w:val="20"/>
        </w:rPr>
        <w:t xml:space="preserve"> i.e., a CRMDE must </w:t>
      </w:r>
      <w:r w:rsidR="00604020">
        <w:rPr>
          <w:sz w:val="20"/>
          <w:szCs w:val="20"/>
        </w:rPr>
        <w:t>make multiple calls to NotifyDocketingComplete, passing a single RecordD</w:t>
      </w:r>
      <w:r w:rsidR="00F27213">
        <w:rPr>
          <w:sz w:val="20"/>
          <w:szCs w:val="20"/>
        </w:rPr>
        <w:t>o</w:t>
      </w:r>
      <w:r w:rsidR="00604020">
        <w:rPr>
          <w:sz w:val="20"/>
          <w:szCs w:val="20"/>
        </w:rPr>
        <w:t>cketing</w:t>
      </w:r>
      <w:r w:rsidR="00945199">
        <w:rPr>
          <w:sz w:val="20"/>
          <w:szCs w:val="20"/>
        </w:rPr>
        <w:t>C</w:t>
      </w:r>
      <w:r w:rsidR="00604020">
        <w:rPr>
          <w:sz w:val="20"/>
          <w:szCs w:val="20"/>
        </w:rPr>
        <w:t xml:space="preserve">allbackMessage </w:t>
      </w:r>
      <w:r w:rsidR="00945199">
        <w:rPr>
          <w:sz w:val="20"/>
          <w:szCs w:val="20"/>
        </w:rPr>
        <w:t>with</w:t>
      </w:r>
      <w:r w:rsidR="00604020">
        <w:rPr>
          <w:sz w:val="20"/>
          <w:szCs w:val="20"/>
        </w:rPr>
        <w:t xml:space="preserve"> each invocation</w:t>
      </w:r>
      <w:r w:rsidR="00237B2A">
        <w:rPr>
          <w:sz w:val="20"/>
          <w:szCs w:val="20"/>
        </w:rPr>
        <w:t>, when there are multiple R</w:t>
      </w:r>
      <w:r w:rsidR="007C1B8D">
        <w:rPr>
          <w:sz w:val="20"/>
          <w:szCs w:val="20"/>
        </w:rPr>
        <w:t>e</w:t>
      </w:r>
      <w:r w:rsidR="00237B2A">
        <w:rPr>
          <w:sz w:val="20"/>
          <w:szCs w:val="20"/>
        </w:rPr>
        <w:t>viewedLeadDocuments in a submission</w:t>
      </w:r>
    </w:p>
    <w:p w14:paraId="76481ECE" w14:textId="05E8CFCF" w:rsidR="00604020" w:rsidRDefault="00604020" w:rsidP="00670FE7">
      <w:pPr>
        <w:spacing w:after="0"/>
        <w:ind w:left="270"/>
        <w:rPr>
          <w:sz w:val="20"/>
          <w:szCs w:val="20"/>
        </w:rPr>
      </w:pPr>
    </w:p>
    <w:p w14:paraId="4F78DB7D" w14:textId="628305F8" w:rsidR="00F27213" w:rsidRDefault="00F27213" w:rsidP="00670FE7">
      <w:pPr>
        <w:spacing w:after="0"/>
        <w:ind w:left="270"/>
        <w:rPr>
          <w:sz w:val="20"/>
          <w:szCs w:val="20"/>
        </w:rPr>
      </w:pPr>
      <w:r>
        <w:rPr>
          <w:sz w:val="20"/>
          <w:szCs w:val="20"/>
        </w:rPr>
        <w:t xml:space="preserve">In ECF v4.01, </w:t>
      </w:r>
      <w:r w:rsidR="00477465">
        <w:rPr>
          <w:sz w:val="20"/>
          <w:szCs w:val="20"/>
        </w:rPr>
        <w:t xml:space="preserve">and when employing one of ECF 4.01’s various Web Services SIPs, </w:t>
      </w:r>
      <w:r w:rsidR="00030080">
        <w:rPr>
          <w:sz w:val="20"/>
          <w:szCs w:val="20"/>
        </w:rPr>
        <w:t xml:space="preserve">it may not have been apparent to implementers that the WS-SIP intended that only a single RecordDocketingCallbackMessage should be provided within </w:t>
      </w:r>
      <w:r w:rsidR="001E5136">
        <w:rPr>
          <w:sz w:val="20"/>
          <w:szCs w:val="20"/>
        </w:rPr>
        <w:t xml:space="preserve">a NotifyDocketingCompleteMessage specified in the wsdl. Web Services implementations based on the ECF-4.0-WebServicesProfile-Definitions.wsdl may not have enforced </w:t>
      </w:r>
      <w:r w:rsidR="00B342DA">
        <w:rPr>
          <w:sz w:val="20"/>
          <w:szCs w:val="20"/>
        </w:rPr>
        <w:t>this restriction, or implementers may have modified the wsdl.</w:t>
      </w:r>
    </w:p>
    <w:p w14:paraId="5788EABC" w14:textId="3AA220DD" w:rsidR="008255B9" w:rsidRDefault="008255B9" w:rsidP="00670FE7">
      <w:pPr>
        <w:spacing w:after="0"/>
        <w:ind w:left="270"/>
        <w:rPr>
          <w:sz w:val="20"/>
          <w:szCs w:val="20"/>
        </w:rPr>
      </w:pPr>
    </w:p>
    <w:p w14:paraId="78D38DB5" w14:textId="1B373ACC" w:rsidR="008255B9" w:rsidRDefault="008255B9" w:rsidP="00670FE7">
      <w:pPr>
        <w:spacing w:after="0"/>
        <w:ind w:left="270"/>
        <w:rPr>
          <w:sz w:val="20"/>
          <w:szCs w:val="20"/>
        </w:rPr>
      </w:pPr>
      <w:r>
        <w:rPr>
          <w:sz w:val="20"/>
          <w:szCs w:val="20"/>
        </w:rPr>
        <w:t xml:space="preserve">Furthermore, if implementers had chosen to implement using the IBM MQ SIP, then this SIP’s exchange schema (i.e., ECF-4.0-IBMMQProfile-Definitions.xsd) permits multiple RecordDocketingCallbackMessages in a single NotifyDocketingCompleteRequest. </w:t>
      </w:r>
    </w:p>
    <w:p w14:paraId="7B1A6B2C" w14:textId="7847F35B" w:rsidR="00604020" w:rsidRDefault="00604020" w:rsidP="00670FE7">
      <w:pPr>
        <w:spacing w:after="0"/>
        <w:ind w:left="270"/>
        <w:rPr>
          <w:sz w:val="20"/>
          <w:szCs w:val="20"/>
        </w:rPr>
      </w:pPr>
    </w:p>
    <w:p w14:paraId="7B4FD7AD" w14:textId="3F8237DB" w:rsidR="007333B6" w:rsidRDefault="007333B6" w:rsidP="00670FE7">
      <w:pPr>
        <w:spacing w:after="0"/>
        <w:ind w:left="270"/>
        <w:rPr>
          <w:sz w:val="20"/>
          <w:szCs w:val="20"/>
        </w:rPr>
      </w:pPr>
      <w:r>
        <w:rPr>
          <w:sz w:val="20"/>
          <w:szCs w:val="20"/>
        </w:rPr>
        <w:lastRenderedPageBreak/>
        <w:t>Since the ECF 4.0 (and ECF 4.1</w:t>
      </w:r>
      <w:r w:rsidR="008825B4">
        <w:rPr>
          <w:sz w:val="20"/>
          <w:szCs w:val="20"/>
        </w:rPr>
        <w:t xml:space="preserve"> to a certain extent</w:t>
      </w:r>
      <w:r>
        <w:rPr>
          <w:sz w:val="20"/>
          <w:szCs w:val="20"/>
        </w:rPr>
        <w:t xml:space="preserve">) prose specification does not specify invocation parameters, whether they are required or optional and any parameter cardinality, then both the Web Services SIP and the IBM MQ SIP are equally conformant.  </w:t>
      </w:r>
    </w:p>
    <w:p w14:paraId="4DB5464C" w14:textId="01A5A25B" w:rsidR="00903879" w:rsidRDefault="00903879" w:rsidP="004E231A">
      <w:pPr>
        <w:spacing w:after="0"/>
        <w:ind w:left="270"/>
        <w:rPr>
          <w:sz w:val="20"/>
          <w:szCs w:val="20"/>
        </w:rPr>
      </w:pPr>
    </w:p>
    <w:p w14:paraId="4A522FB6" w14:textId="0C465B97" w:rsidR="008825B4" w:rsidRDefault="008825B4" w:rsidP="004E231A">
      <w:pPr>
        <w:spacing w:after="0"/>
        <w:ind w:left="270"/>
        <w:rPr>
          <w:sz w:val="20"/>
          <w:szCs w:val="20"/>
        </w:rPr>
      </w:pPr>
      <w:r>
        <w:rPr>
          <w:sz w:val="20"/>
          <w:szCs w:val="20"/>
        </w:rPr>
        <w:t xml:space="preserve">However, ECF v4.1 introduces wrappers.xsd. This schema does specify that a single NotifyDocketingComplete element must contain one and only one NotifyDocketingCompleteRequest </w:t>
      </w:r>
      <w:r w:rsidRPr="008825B4">
        <w:rPr>
          <w:sz w:val="20"/>
          <w:szCs w:val="20"/>
        </w:rPr>
        <w:t>element, which in turn, must contain one and only</w:t>
      </w:r>
      <w:r>
        <w:rPr>
          <w:sz w:val="20"/>
          <w:szCs w:val="20"/>
        </w:rPr>
        <w:t xml:space="preserve"> RecordDocketingCallbackMessage.</w:t>
      </w:r>
    </w:p>
    <w:p w14:paraId="0234782A" w14:textId="31F2A199" w:rsidR="008825B4" w:rsidRDefault="008825B4" w:rsidP="004E231A">
      <w:pPr>
        <w:spacing w:after="0"/>
        <w:ind w:left="270"/>
        <w:rPr>
          <w:sz w:val="20"/>
          <w:szCs w:val="20"/>
        </w:rPr>
      </w:pPr>
    </w:p>
    <w:p w14:paraId="442E4938" w14:textId="6BAFFF6E" w:rsidR="008825B4" w:rsidRDefault="008825B4" w:rsidP="004E231A">
      <w:pPr>
        <w:spacing w:after="0"/>
        <w:ind w:left="270"/>
        <w:rPr>
          <w:sz w:val="20"/>
          <w:szCs w:val="20"/>
        </w:rPr>
      </w:pPr>
      <w:r>
        <w:rPr>
          <w:sz w:val="20"/>
          <w:szCs w:val="20"/>
        </w:rPr>
        <w:t>Yet, ECF v4.1 never specifies that wrappers.xsd must be used, and it does not appear in the ‘Informative’ Appendix C. It appears that implementers are free to use or not use wrappers.xsd as desired.</w:t>
      </w:r>
      <w:r w:rsidR="00EF6C47">
        <w:rPr>
          <w:sz w:val="20"/>
          <w:szCs w:val="20"/>
        </w:rPr>
        <w:t xml:space="preserve"> It does appear in the D.1 ‘Operation Invocation’ example in Appendix D ‘(Informative) Example Transmissions’</w:t>
      </w:r>
      <w:r w:rsidR="0083514D">
        <w:rPr>
          <w:sz w:val="20"/>
          <w:szCs w:val="20"/>
        </w:rPr>
        <w:t xml:space="preserve"> of the [ECF-WS-SIP-v4.1] specification</w:t>
      </w:r>
      <w:r w:rsidR="00EF6C47">
        <w:rPr>
          <w:sz w:val="20"/>
          <w:szCs w:val="20"/>
        </w:rPr>
        <w:t>, if somehow the reader understands that the ‘wrappers’ namespace prefix refers to ‘</w:t>
      </w:r>
      <w:r w:rsidR="00EF6C47" w:rsidRPr="00EF6C47">
        <w:rPr>
          <w:sz w:val="20"/>
          <w:szCs w:val="20"/>
        </w:rPr>
        <w:t>urn:oasis:names:tc:legalxml-courtfiling:schema:xsd:MessageWrappers-4.1</w:t>
      </w:r>
      <w:r w:rsidR="00EF6C47">
        <w:rPr>
          <w:sz w:val="20"/>
          <w:szCs w:val="20"/>
        </w:rPr>
        <w:t>’.</w:t>
      </w:r>
    </w:p>
    <w:p w14:paraId="729E07B7" w14:textId="339AE939" w:rsidR="006250E8" w:rsidRDefault="006250E8" w:rsidP="004E231A">
      <w:pPr>
        <w:spacing w:after="0"/>
        <w:ind w:left="270"/>
        <w:rPr>
          <w:sz w:val="20"/>
          <w:szCs w:val="20"/>
        </w:rPr>
      </w:pPr>
    </w:p>
    <w:p w14:paraId="58F1FF5B" w14:textId="5AB6FED9" w:rsidR="006250E8" w:rsidRDefault="006250E8" w:rsidP="004E231A">
      <w:pPr>
        <w:spacing w:after="0"/>
        <w:ind w:left="270"/>
        <w:rPr>
          <w:sz w:val="20"/>
          <w:szCs w:val="20"/>
        </w:rPr>
      </w:pPr>
      <w:r>
        <w:rPr>
          <w:sz w:val="20"/>
          <w:szCs w:val="20"/>
        </w:rPr>
        <w:t>Recommendations:</w:t>
      </w:r>
    </w:p>
    <w:p w14:paraId="395BB1DC" w14:textId="0DC31566" w:rsidR="006250E8" w:rsidRDefault="006250E8" w:rsidP="004E231A">
      <w:pPr>
        <w:spacing w:after="0"/>
        <w:ind w:left="270"/>
        <w:rPr>
          <w:sz w:val="20"/>
          <w:szCs w:val="20"/>
        </w:rPr>
      </w:pPr>
    </w:p>
    <w:p w14:paraId="1018A0AE" w14:textId="42BAD067" w:rsidR="006250E8" w:rsidRDefault="006250E8" w:rsidP="004E231A">
      <w:pPr>
        <w:spacing w:after="0"/>
        <w:ind w:left="270"/>
        <w:rPr>
          <w:sz w:val="20"/>
          <w:szCs w:val="20"/>
        </w:rPr>
      </w:pPr>
      <w:r>
        <w:rPr>
          <w:sz w:val="20"/>
          <w:szCs w:val="20"/>
        </w:rPr>
        <w:t xml:space="preserve">1. Determine whether wrappers.xsd truly belongs in the main ECF v4.1 specification, or if it </w:t>
      </w:r>
      <w:r w:rsidR="00DD206C">
        <w:rPr>
          <w:sz w:val="20"/>
          <w:szCs w:val="20"/>
        </w:rPr>
        <w:t>more appropriately</w:t>
      </w:r>
      <w:r>
        <w:rPr>
          <w:sz w:val="20"/>
          <w:szCs w:val="20"/>
        </w:rPr>
        <w:t xml:space="preserve"> belongs in the ECF 4.1 Web Services SIP specification</w:t>
      </w:r>
      <w:r w:rsidR="0079577A">
        <w:rPr>
          <w:sz w:val="20"/>
          <w:szCs w:val="20"/>
        </w:rPr>
        <w:t xml:space="preserve"> (see #7 above)</w:t>
      </w:r>
      <w:r>
        <w:rPr>
          <w:sz w:val="20"/>
          <w:szCs w:val="20"/>
        </w:rPr>
        <w:t>.</w:t>
      </w:r>
    </w:p>
    <w:p w14:paraId="3839F083" w14:textId="21CCA091" w:rsidR="006250E8" w:rsidRDefault="006250E8" w:rsidP="004E231A">
      <w:pPr>
        <w:spacing w:after="0"/>
        <w:ind w:left="270"/>
        <w:rPr>
          <w:sz w:val="20"/>
          <w:szCs w:val="20"/>
        </w:rPr>
      </w:pPr>
    </w:p>
    <w:p w14:paraId="42389F63" w14:textId="12AD4906" w:rsidR="006250E8" w:rsidRDefault="006250E8" w:rsidP="004E231A">
      <w:pPr>
        <w:spacing w:after="0"/>
        <w:ind w:left="270"/>
        <w:rPr>
          <w:sz w:val="20"/>
          <w:szCs w:val="20"/>
        </w:rPr>
      </w:pPr>
      <w:r>
        <w:rPr>
          <w:sz w:val="20"/>
          <w:szCs w:val="20"/>
        </w:rPr>
        <w:t xml:space="preserve">2. Presuming the determination </w:t>
      </w:r>
      <w:r w:rsidR="0079577A">
        <w:rPr>
          <w:sz w:val="20"/>
          <w:szCs w:val="20"/>
        </w:rPr>
        <w:t>i</w:t>
      </w:r>
      <w:r>
        <w:rPr>
          <w:sz w:val="20"/>
          <w:szCs w:val="20"/>
        </w:rPr>
        <w:t>s made to continue wrappers.xsd within the main ECF v4.1 specification, then:</w:t>
      </w:r>
    </w:p>
    <w:p w14:paraId="4644D953" w14:textId="5A521ADE" w:rsidR="006250E8" w:rsidRDefault="006250E8" w:rsidP="004E231A">
      <w:pPr>
        <w:spacing w:after="0"/>
        <w:ind w:left="270"/>
        <w:rPr>
          <w:sz w:val="20"/>
          <w:szCs w:val="20"/>
        </w:rPr>
      </w:pPr>
    </w:p>
    <w:p w14:paraId="1ADDAF10" w14:textId="51649F49" w:rsidR="006250E8" w:rsidRDefault="006250E8" w:rsidP="004E231A">
      <w:pPr>
        <w:spacing w:after="0"/>
        <w:ind w:left="270"/>
        <w:rPr>
          <w:sz w:val="20"/>
          <w:szCs w:val="20"/>
        </w:rPr>
      </w:pPr>
      <w:r>
        <w:rPr>
          <w:sz w:val="20"/>
          <w:szCs w:val="20"/>
        </w:rPr>
        <w:t xml:space="preserve">a. </w:t>
      </w:r>
      <w:r w:rsidR="00274180">
        <w:rPr>
          <w:sz w:val="20"/>
          <w:szCs w:val="20"/>
        </w:rPr>
        <w:t xml:space="preserve">Define the role of the </w:t>
      </w:r>
      <w:r w:rsidR="00FB7866">
        <w:rPr>
          <w:sz w:val="20"/>
          <w:szCs w:val="20"/>
        </w:rPr>
        <w:t>‘</w:t>
      </w:r>
      <w:r w:rsidR="00274180">
        <w:rPr>
          <w:sz w:val="20"/>
          <w:szCs w:val="20"/>
        </w:rPr>
        <w:t>wrappers</w:t>
      </w:r>
      <w:r w:rsidR="00FB7866">
        <w:rPr>
          <w:sz w:val="20"/>
          <w:szCs w:val="20"/>
        </w:rPr>
        <w:t>’</w:t>
      </w:r>
      <w:r w:rsidR="00274180">
        <w:rPr>
          <w:sz w:val="20"/>
          <w:szCs w:val="20"/>
        </w:rPr>
        <w:t xml:space="preserve"> schema within the specification, not leaving this up to individual implementations.</w:t>
      </w:r>
      <w:r w:rsidR="00C64EE1">
        <w:rPr>
          <w:sz w:val="20"/>
          <w:szCs w:val="20"/>
        </w:rPr>
        <w:t xml:space="preserve"> Determine whether the use of w</w:t>
      </w:r>
      <w:r w:rsidR="006E15B9">
        <w:rPr>
          <w:sz w:val="20"/>
          <w:szCs w:val="20"/>
        </w:rPr>
        <w:t>r</w:t>
      </w:r>
      <w:r w:rsidR="00C64EE1">
        <w:rPr>
          <w:sz w:val="20"/>
          <w:szCs w:val="20"/>
        </w:rPr>
        <w:t>appers.xsd is required or optional</w:t>
      </w:r>
      <w:r w:rsidR="006E15B9">
        <w:rPr>
          <w:sz w:val="20"/>
          <w:szCs w:val="20"/>
        </w:rPr>
        <w:t>, or SIP dependent</w:t>
      </w:r>
      <w:r w:rsidR="00C64EE1">
        <w:rPr>
          <w:sz w:val="20"/>
          <w:szCs w:val="20"/>
        </w:rPr>
        <w:t>. If required, then consider all Service Interaction Profiles.</w:t>
      </w:r>
    </w:p>
    <w:p w14:paraId="58D3908A" w14:textId="475CD31A" w:rsidR="00274180" w:rsidRDefault="00274180" w:rsidP="004E231A">
      <w:pPr>
        <w:spacing w:after="0"/>
        <w:ind w:left="270"/>
        <w:rPr>
          <w:sz w:val="20"/>
          <w:szCs w:val="20"/>
        </w:rPr>
      </w:pPr>
    </w:p>
    <w:p w14:paraId="4F1B6589" w14:textId="4691DC4F" w:rsidR="00274180" w:rsidRDefault="00274180" w:rsidP="004E231A">
      <w:pPr>
        <w:spacing w:after="0"/>
        <w:ind w:left="270"/>
        <w:rPr>
          <w:sz w:val="20"/>
          <w:szCs w:val="20"/>
        </w:rPr>
      </w:pPr>
      <w:r>
        <w:rPr>
          <w:sz w:val="20"/>
          <w:szCs w:val="20"/>
        </w:rPr>
        <w:t>b. Consider revising Appendix C making it normative and not just informative. Include parameter</w:t>
      </w:r>
      <w:r w:rsidR="006E15B9">
        <w:rPr>
          <w:sz w:val="20"/>
          <w:szCs w:val="20"/>
        </w:rPr>
        <w:t xml:space="preserve"> optionality and </w:t>
      </w:r>
      <w:r>
        <w:rPr>
          <w:sz w:val="20"/>
          <w:szCs w:val="20"/>
        </w:rPr>
        <w:t>cardinality.</w:t>
      </w:r>
    </w:p>
    <w:p w14:paraId="35EFEE72" w14:textId="509B640E" w:rsidR="007A3E30" w:rsidRDefault="007A3E30" w:rsidP="004E231A">
      <w:pPr>
        <w:spacing w:after="0"/>
        <w:ind w:left="270"/>
        <w:rPr>
          <w:sz w:val="20"/>
          <w:szCs w:val="20"/>
        </w:rPr>
      </w:pPr>
    </w:p>
    <w:p w14:paraId="745A425A" w14:textId="2E9155F5" w:rsidR="007A3E30" w:rsidRDefault="007A3E30" w:rsidP="004E231A">
      <w:pPr>
        <w:spacing w:after="0"/>
        <w:ind w:left="270"/>
        <w:rPr>
          <w:sz w:val="20"/>
          <w:szCs w:val="20"/>
        </w:rPr>
      </w:pPr>
      <w:r>
        <w:rPr>
          <w:sz w:val="20"/>
          <w:szCs w:val="20"/>
        </w:rPr>
        <w:t>c. Allow multiple RecordDocketingCallbackMessage elements within a NotifyDocketingComplete operation invocation request.</w:t>
      </w:r>
    </w:p>
    <w:p w14:paraId="189B70DF" w14:textId="1E45DED3" w:rsidR="00F40D08" w:rsidRDefault="00F40D08" w:rsidP="004E231A">
      <w:pPr>
        <w:spacing w:after="0"/>
        <w:ind w:left="270"/>
        <w:rPr>
          <w:sz w:val="20"/>
          <w:szCs w:val="20"/>
        </w:rPr>
      </w:pPr>
    </w:p>
    <w:p w14:paraId="2B417B64" w14:textId="0E58C1E3" w:rsidR="004E231A" w:rsidRDefault="00F40D08" w:rsidP="00105B0D">
      <w:pPr>
        <w:spacing w:after="0"/>
        <w:ind w:left="450"/>
        <w:rPr>
          <w:sz w:val="20"/>
          <w:szCs w:val="20"/>
        </w:rPr>
      </w:pPr>
      <w:r>
        <w:rPr>
          <w:sz w:val="20"/>
          <w:szCs w:val="20"/>
        </w:rPr>
        <w:t xml:space="preserve">c.1 If NotifyDocketingComplete is not revised to permit multiple RecordDocketingCallbackMessages, </w:t>
      </w:r>
      <w:r w:rsidR="00EF3638">
        <w:rPr>
          <w:sz w:val="20"/>
          <w:szCs w:val="20"/>
        </w:rPr>
        <w:t xml:space="preserve">then </w:t>
      </w:r>
      <w:r>
        <w:rPr>
          <w:sz w:val="20"/>
          <w:szCs w:val="20"/>
        </w:rPr>
        <w:t>revise section 3.2.7 ‘NotifyDocketingComplete’ to require a callback message for each FilingLeadDocument that has been provided on the RecordDocketing request.</w:t>
      </w:r>
      <w:r w:rsidR="00DE1C14">
        <w:rPr>
          <w:sz w:val="20"/>
          <w:szCs w:val="20"/>
        </w:rPr>
        <w:t xml:space="preserve"> These multiple NotifyDocketin</w:t>
      </w:r>
      <w:r w:rsidR="00683E02">
        <w:rPr>
          <w:sz w:val="20"/>
          <w:szCs w:val="20"/>
        </w:rPr>
        <w:t>g</w:t>
      </w:r>
      <w:r w:rsidR="00DE1C14">
        <w:rPr>
          <w:sz w:val="20"/>
          <w:szCs w:val="20"/>
        </w:rPr>
        <w:t>Complete requests</w:t>
      </w:r>
      <w:r w:rsidR="006A3A51">
        <w:rPr>
          <w:sz w:val="20"/>
          <w:szCs w:val="20"/>
        </w:rPr>
        <w:t>,</w:t>
      </w:r>
      <w:r w:rsidR="00DE1C14">
        <w:rPr>
          <w:sz w:val="20"/>
          <w:szCs w:val="20"/>
        </w:rPr>
        <w:t xml:space="preserve"> responding to a single RecordDocketing request</w:t>
      </w:r>
      <w:r w:rsidR="006A3A51">
        <w:rPr>
          <w:sz w:val="20"/>
          <w:szCs w:val="20"/>
        </w:rPr>
        <w:t>,</w:t>
      </w:r>
      <w:r w:rsidR="00DE1C14">
        <w:rPr>
          <w:sz w:val="20"/>
          <w:szCs w:val="20"/>
        </w:rPr>
        <w:t xml:space="preserve"> need not all be provided in quick succession (e.g., time gaps, short or long, between callback messages are permitted).</w:t>
      </w:r>
    </w:p>
    <w:p w14:paraId="106A0F7B" w14:textId="4FE0AE69" w:rsidR="00105B0D" w:rsidRDefault="00105B0D" w:rsidP="00E2458E">
      <w:pPr>
        <w:spacing w:after="0"/>
        <w:rPr>
          <w:sz w:val="20"/>
          <w:szCs w:val="20"/>
        </w:rPr>
      </w:pPr>
    </w:p>
    <w:p w14:paraId="307D4EF3" w14:textId="77777777" w:rsidR="00F83753" w:rsidRDefault="00F83753" w:rsidP="00E2458E">
      <w:pPr>
        <w:spacing w:after="0"/>
        <w:rPr>
          <w:sz w:val="20"/>
          <w:szCs w:val="20"/>
        </w:rPr>
      </w:pPr>
    </w:p>
    <w:p w14:paraId="230A4BCF" w14:textId="5317F0C6" w:rsidR="009501A7" w:rsidRDefault="004E231A" w:rsidP="00E2458E">
      <w:pPr>
        <w:spacing w:after="0"/>
        <w:rPr>
          <w:sz w:val="20"/>
          <w:szCs w:val="20"/>
        </w:rPr>
      </w:pPr>
      <w:r>
        <w:rPr>
          <w:sz w:val="20"/>
          <w:szCs w:val="20"/>
        </w:rPr>
        <w:t>2</w:t>
      </w:r>
      <w:r w:rsidR="008863AC">
        <w:rPr>
          <w:sz w:val="20"/>
          <w:szCs w:val="20"/>
        </w:rPr>
        <w:t>1</w:t>
      </w:r>
      <w:r>
        <w:rPr>
          <w:sz w:val="20"/>
          <w:szCs w:val="20"/>
        </w:rPr>
        <w:t>.</w:t>
      </w:r>
      <w:r w:rsidR="009A0AB7">
        <w:rPr>
          <w:sz w:val="20"/>
          <w:szCs w:val="20"/>
        </w:rPr>
        <w:t>Cardinality for ReviewFilingCallbackMessage in NotifyFilingReviewCompleteRequest</w:t>
      </w:r>
      <w:r w:rsidR="008825B4">
        <w:rPr>
          <w:sz w:val="20"/>
          <w:szCs w:val="20"/>
        </w:rPr>
        <w:t xml:space="preserve"> </w:t>
      </w:r>
    </w:p>
    <w:p w14:paraId="5B15ECC7" w14:textId="73297A09" w:rsidR="009A0AB7" w:rsidRDefault="009A0AB7" w:rsidP="00E2458E">
      <w:pPr>
        <w:spacing w:after="0"/>
        <w:rPr>
          <w:sz w:val="20"/>
          <w:szCs w:val="20"/>
        </w:rPr>
      </w:pPr>
    </w:p>
    <w:p w14:paraId="4BEDDEE5" w14:textId="3E0C65AB" w:rsidR="00400813" w:rsidRDefault="001D3AAE" w:rsidP="00D47247">
      <w:pPr>
        <w:spacing w:after="0"/>
        <w:ind w:left="270"/>
        <w:rPr>
          <w:sz w:val="20"/>
          <w:szCs w:val="20"/>
        </w:rPr>
      </w:pPr>
      <w:r>
        <w:rPr>
          <w:sz w:val="20"/>
          <w:szCs w:val="20"/>
        </w:rPr>
        <w:t xml:space="preserve">Wrappers.xsd only permits a single instance of </w:t>
      </w:r>
      <w:r>
        <w:rPr>
          <w:sz w:val="20"/>
          <w:szCs w:val="20"/>
        </w:rPr>
        <w:t>ReviewFilingCallbackMessage</w:t>
      </w:r>
      <w:r>
        <w:rPr>
          <w:sz w:val="20"/>
          <w:szCs w:val="20"/>
        </w:rPr>
        <w:t xml:space="preserve"> with</w:t>
      </w:r>
      <w:r>
        <w:rPr>
          <w:sz w:val="20"/>
          <w:szCs w:val="20"/>
        </w:rPr>
        <w:t>in NotifyFilingReviewCompleteRequest</w:t>
      </w:r>
      <w:r>
        <w:rPr>
          <w:sz w:val="20"/>
          <w:szCs w:val="20"/>
        </w:rPr>
        <w:t xml:space="preserve">. </w:t>
      </w:r>
    </w:p>
    <w:p w14:paraId="7CA52F27" w14:textId="680EE9CB" w:rsidR="00FA1FEF" w:rsidRDefault="00FA1FEF" w:rsidP="00D47247">
      <w:pPr>
        <w:spacing w:after="0"/>
        <w:ind w:left="270"/>
        <w:rPr>
          <w:sz w:val="20"/>
          <w:szCs w:val="20"/>
        </w:rPr>
      </w:pPr>
    </w:p>
    <w:p w14:paraId="1F2C100D" w14:textId="4E9BA379" w:rsidR="00FA1FEF" w:rsidRDefault="00FA1FEF" w:rsidP="00D47247">
      <w:pPr>
        <w:spacing w:after="0"/>
        <w:ind w:left="270"/>
        <w:rPr>
          <w:sz w:val="20"/>
          <w:szCs w:val="20"/>
        </w:rPr>
      </w:pPr>
      <w:r>
        <w:rPr>
          <w:sz w:val="20"/>
          <w:szCs w:val="20"/>
        </w:rPr>
        <w:t>A single ReviewFilingCallbackMessage can only provide information for a single ReviewLeadDocument.</w:t>
      </w:r>
    </w:p>
    <w:p w14:paraId="43DB4168" w14:textId="4D691490" w:rsidR="00FA1FEF" w:rsidRDefault="00FA1FEF" w:rsidP="00D47247">
      <w:pPr>
        <w:spacing w:after="0"/>
        <w:ind w:left="270"/>
        <w:rPr>
          <w:sz w:val="20"/>
          <w:szCs w:val="20"/>
        </w:rPr>
      </w:pPr>
    </w:p>
    <w:p w14:paraId="5346B3B9" w14:textId="6B32D2A5" w:rsidR="00FA1FEF" w:rsidRDefault="00FA1FEF" w:rsidP="00D47247">
      <w:pPr>
        <w:spacing w:after="0"/>
        <w:ind w:left="270"/>
        <w:rPr>
          <w:sz w:val="20"/>
          <w:szCs w:val="20"/>
        </w:rPr>
      </w:pPr>
      <w:r>
        <w:rPr>
          <w:sz w:val="20"/>
          <w:szCs w:val="20"/>
        </w:rPr>
        <w:t>A ReviewFilingRequest may provide multiple LeadDocuments.</w:t>
      </w:r>
    </w:p>
    <w:p w14:paraId="17C7FDDA" w14:textId="6E625C0D" w:rsidR="00FA1FEF" w:rsidRDefault="00FA1FEF" w:rsidP="00D47247">
      <w:pPr>
        <w:spacing w:after="0"/>
        <w:ind w:left="270"/>
        <w:rPr>
          <w:sz w:val="20"/>
          <w:szCs w:val="20"/>
        </w:rPr>
      </w:pPr>
    </w:p>
    <w:p w14:paraId="4E723FFB" w14:textId="1A6C9C4E" w:rsidR="00FA1FEF" w:rsidRDefault="00A674C5" w:rsidP="00D47247">
      <w:pPr>
        <w:spacing w:after="0"/>
        <w:ind w:left="270"/>
        <w:rPr>
          <w:sz w:val="20"/>
          <w:szCs w:val="20"/>
        </w:rPr>
      </w:pPr>
      <w:r>
        <w:rPr>
          <w:sz w:val="20"/>
          <w:szCs w:val="20"/>
        </w:rPr>
        <w:t>As such, multiple RevewFilingCalbackMessages may be required for a single submission (e.g., RvFR).</w:t>
      </w:r>
    </w:p>
    <w:p w14:paraId="5B4F8E24" w14:textId="77777777" w:rsidR="00400813" w:rsidRDefault="00400813" w:rsidP="00D47247">
      <w:pPr>
        <w:spacing w:after="0"/>
        <w:ind w:left="270"/>
        <w:rPr>
          <w:sz w:val="20"/>
          <w:szCs w:val="20"/>
        </w:rPr>
      </w:pPr>
    </w:p>
    <w:p w14:paraId="24028203" w14:textId="13623C76" w:rsidR="001D3AAE" w:rsidRDefault="00400813" w:rsidP="00D47247">
      <w:pPr>
        <w:spacing w:after="0"/>
        <w:ind w:left="270"/>
        <w:rPr>
          <w:sz w:val="20"/>
          <w:szCs w:val="20"/>
        </w:rPr>
      </w:pPr>
      <w:r>
        <w:rPr>
          <w:sz w:val="20"/>
          <w:szCs w:val="20"/>
        </w:rPr>
        <w:lastRenderedPageBreak/>
        <w:t xml:space="preserve">There is no place within the prose specification where the number of ReviewFilingCallbackMessages that are permitted within a call to the NotifyFilingReviewComplete operation is ever stated. In section C.1.1 ‘Provided Operation’ for Filing Assembly MDE within Appendix C. ‘(Informative) MDE Operations’, the </w:t>
      </w:r>
      <w:r w:rsidR="002F1BA4">
        <w:rPr>
          <w:sz w:val="20"/>
          <w:szCs w:val="20"/>
        </w:rPr>
        <w:t xml:space="preserve">operation invocation </w:t>
      </w:r>
      <w:r>
        <w:rPr>
          <w:sz w:val="20"/>
          <w:szCs w:val="20"/>
        </w:rPr>
        <w:t>parameters are provided.</w:t>
      </w:r>
    </w:p>
    <w:p w14:paraId="23D362E6" w14:textId="7F85E698" w:rsidR="00400813" w:rsidRDefault="00400813" w:rsidP="00D47247">
      <w:pPr>
        <w:spacing w:after="0"/>
        <w:ind w:left="270"/>
        <w:rPr>
          <w:sz w:val="20"/>
          <w:szCs w:val="20"/>
        </w:rPr>
      </w:pPr>
    </w:p>
    <w:p w14:paraId="4EEC5BA4" w14:textId="4AA3B63E" w:rsidR="00400813" w:rsidRDefault="00400813" w:rsidP="00D47247">
      <w:pPr>
        <w:spacing w:after="0"/>
        <w:ind w:left="270"/>
        <w:rPr>
          <w:sz w:val="20"/>
          <w:szCs w:val="20"/>
        </w:rPr>
      </w:pPr>
      <w:r>
        <w:rPr>
          <w:sz w:val="20"/>
          <w:szCs w:val="20"/>
        </w:rPr>
        <w:t>For NotifyFilingReviewComplete, the parameters are ReviewFilingCallbackMessage and PaymentReceiptMessage. Whether an individual parameter is required, and how many instances of a specific parameter are allowed</w:t>
      </w:r>
      <w:r w:rsidR="000737C9">
        <w:rPr>
          <w:sz w:val="20"/>
          <w:szCs w:val="20"/>
        </w:rPr>
        <w:t xml:space="preserve"> or required</w:t>
      </w:r>
      <w:r w:rsidR="00FA1FEF">
        <w:rPr>
          <w:sz w:val="20"/>
          <w:szCs w:val="20"/>
        </w:rPr>
        <w:t>,</w:t>
      </w:r>
      <w:r>
        <w:rPr>
          <w:sz w:val="20"/>
          <w:szCs w:val="20"/>
        </w:rPr>
        <w:t xml:space="preserve"> is never expressed.</w:t>
      </w:r>
      <w:r w:rsidR="00D47247">
        <w:rPr>
          <w:sz w:val="20"/>
          <w:szCs w:val="20"/>
        </w:rPr>
        <w:t xml:space="preserve"> As such, </w:t>
      </w:r>
      <w:r w:rsidR="005011E1">
        <w:rPr>
          <w:sz w:val="20"/>
          <w:szCs w:val="20"/>
        </w:rPr>
        <w:t xml:space="preserve">for the information presented in the prose specification, </w:t>
      </w:r>
      <w:r w:rsidR="00D47247">
        <w:rPr>
          <w:sz w:val="20"/>
          <w:szCs w:val="20"/>
        </w:rPr>
        <w:t xml:space="preserve">it seems, </w:t>
      </w:r>
      <w:r w:rsidR="00B36F6D">
        <w:rPr>
          <w:sz w:val="20"/>
          <w:szCs w:val="20"/>
        </w:rPr>
        <w:t>these choices are</w:t>
      </w:r>
      <w:r w:rsidR="00D47247">
        <w:rPr>
          <w:sz w:val="20"/>
          <w:szCs w:val="20"/>
        </w:rPr>
        <w:t xml:space="preserve"> implementation dependent.</w:t>
      </w:r>
    </w:p>
    <w:p w14:paraId="34376F5D" w14:textId="390227DC" w:rsidR="00D47247" w:rsidRDefault="00D47247" w:rsidP="00D47247">
      <w:pPr>
        <w:spacing w:after="0"/>
        <w:ind w:left="270"/>
        <w:rPr>
          <w:sz w:val="20"/>
          <w:szCs w:val="20"/>
        </w:rPr>
      </w:pPr>
    </w:p>
    <w:p w14:paraId="22BFEC47" w14:textId="51A9DFF4" w:rsidR="00BE6252" w:rsidRDefault="00BE6252" w:rsidP="00D47247">
      <w:pPr>
        <w:spacing w:after="0"/>
        <w:ind w:left="270"/>
        <w:rPr>
          <w:sz w:val="20"/>
          <w:szCs w:val="20"/>
        </w:rPr>
      </w:pPr>
      <w:r>
        <w:rPr>
          <w:sz w:val="20"/>
          <w:szCs w:val="20"/>
        </w:rPr>
        <w:t>The exact parameters and parameter cardinality is provided in wrappers.xsd. However, use of wrappers.xsd is not required in the specification.</w:t>
      </w:r>
    </w:p>
    <w:p w14:paraId="7C27F908" w14:textId="248996CD" w:rsidR="00BE6252" w:rsidRDefault="00BE6252" w:rsidP="00D47247">
      <w:pPr>
        <w:spacing w:after="0"/>
        <w:ind w:left="270"/>
        <w:rPr>
          <w:sz w:val="20"/>
          <w:szCs w:val="20"/>
        </w:rPr>
      </w:pPr>
    </w:p>
    <w:p w14:paraId="4D6B09B8" w14:textId="1311EACE" w:rsidR="00BE6252" w:rsidRDefault="00F43E96" w:rsidP="00D47247">
      <w:pPr>
        <w:spacing w:after="0"/>
        <w:ind w:left="270"/>
        <w:rPr>
          <w:sz w:val="20"/>
          <w:szCs w:val="20"/>
        </w:rPr>
      </w:pPr>
      <w:r>
        <w:rPr>
          <w:sz w:val="20"/>
          <w:szCs w:val="20"/>
        </w:rPr>
        <w:t>Recommendations:</w:t>
      </w:r>
    </w:p>
    <w:p w14:paraId="31699C55" w14:textId="759C88B1" w:rsidR="00F43E96" w:rsidRDefault="00F43E96" w:rsidP="00D47247">
      <w:pPr>
        <w:spacing w:after="0"/>
        <w:ind w:left="270"/>
        <w:rPr>
          <w:sz w:val="20"/>
          <w:szCs w:val="20"/>
        </w:rPr>
      </w:pPr>
    </w:p>
    <w:p w14:paraId="37EDAE55" w14:textId="77777777" w:rsidR="00F43E96" w:rsidRDefault="00F43E96" w:rsidP="00F43E96">
      <w:pPr>
        <w:spacing w:after="0"/>
        <w:ind w:left="270"/>
        <w:rPr>
          <w:sz w:val="20"/>
          <w:szCs w:val="20"/>
        </w:rPr>
      </w:pPr>
      <w:r>
        <w:rPr>
          <w:sz w:val="20"/>
          <w:szCs w:val="20"/>
        </w:rPr>
        <w:t>1. Determine whether wrappers.xsd truly belongs in the main ECF v4.1 specification, or if it more appropriately belongs in the ECF 4.1 Web Services SIP specification (see #7 above).</w:t>
      </w:r>
    </w:p>
    <w:p w14:paraId="3445B6C4" w14:textId="77777777" w:rsidR="00F43E96" w:rsidRDefault="00F43E96" w:rsidP="00F43E96">
      <w:pPr>
        <w:spacing w:after="0"/>
        <w:ind w:left="270"/>
        <w:rPr>
          <w:sz w:val="20"/>
          <w:szCs w:val="20"/>
        </w:rPr>
      </w:pPr>
    </w:p>
    <w:p w14:paraId="71814668" w14:textId="77777777" w:rsidR="00F43E96" w:rsidRDefault="00F43E96" w:rsidP="00F43E96">
      <w:pPr>
        <w:spacing w:after="0"/>
        <w:ind w:left="270"/>
        <w:rPr>
          <w:sz w:val="20"/>
          <w:szCs w:val="20"/>
        </w:rPr>
      </w:pPr>
      <w:r>
        <w:rPr>
          <w:sz w:val="20"/>
          <w:szCs w:val="20"/>
        </w:rPr>
        <w:t>2. Presuming the determination is made to continue wrappers.xsd within the main ECF v4.1 specification, then:</w:t>
      </w:r>
    </w:p>
    <w:p w14:paraId="1134F6D3" w14:textId="77777777" w:rsidR="00F43E96" w:rsidRDefault="00F43E96" w:rsidP="003F25FF">
      <w:pPr>
        <w:spacing w:after="0"/>
        <w:rPr>
          <w:sz w:val="20"/>
          <w:szCs w:val="20"/>
        </w:rPr>
      </w:pPr>
    </w:p>
    <w:p w14:paraId="53EB4EBD" w14:textId="153E5496" w:rsidR="00F43E96" w:rsidRDefault="00F43E96" w:rsidP="00F43E96">
      <w:pPr>
        <w:spacing w:after="0"/>
        <w:ind w:left="270"/>
        <w:rPr>
          <w:sz w:val="20"/>
          <w:szCs w:val="20"/>
        </w:rPr>
      </w:pPr>
      <w:r>
        <w:rPr>
          <w:sz w:val="20"/>
          <w:szCs w:val="20"/>
        </w:rPr>
        <w:t xml:space="preserve">a. </w:t>
      </w:r>
      <w:r>
        <w:rPr>
          <w:sz w:val="20"/>
          <w:szCs w:val="20"/>
        </w:rPr>
        <w:t xml:space="preserve">Define the role of the </w:t>
      </w:r>
      <w:r w:rsidR="006D7045">
        <w:rPr>
          <w:sz w:val="20"/>
          <w:szCs w:val="20"/>
        </w:rPr>
        <w:t>‘</w:t>
      </w:r>
      <w:r>
        <w:rPr>
          <w:sz w:val="20"/>
          <w:szCs w:val="20"/>
        </w:rPr>
        <w:t>wrappers</w:t>
      </w:r>
      <w:r w:rsidR="006D7045">
        <w:rPr>
          <w:sz w:val="20"/>
          <w:szCs w:val="20"/>
        </w:rPr>
        <w:t>’</w:t>
      </w:r>
      <w:r>
        <w:rPr>
          <w:sz w:val="20"/>
          <w:szCs w:val="20"/>
        </w:rPr>
        <w:t xml:space="preserve"> schema within the specification, not leaving this up to individual implementations. Determine whether the use of wrappers.xsd is required or optional, or SIP dependent. If required, then consider all Service Interaction Profiles.</w:t>
      </w:r>
    </w:p>
    <w:p w14:paraId="635751FC" w14:textId="0538971C" w:rsidR="00F43E96" w:rsidRDefault="00F43E96" w:rsidP="00D47247">
      <w:pPr>
        <w:spacing w:after="0"/>
        <w:ind w:left="270"/>
        <w:rPr>
          <w:sz w:val="20"/>
          <w:szCs w:val="20"/>
        </w:rPr>
      </w:pPr>
    </w:p>
    <w:p w14:paraId="757589AE" w14:textId="77777777" w:rsidR="00F43E96" w:rsidRDefault="00F43E96" w:rsidP="00F43E96">
      <w:pPr>
        <w:spacing w:after="0"/>
        <w:ind w:left="270"/>
        <w:rPr>
          <w:sz w:val="20"/>
          <w:szCs w:val="20"/>
        </w:rPr>
      </w:pPr>
      <w:r>
        <w:rPr>
          <w:sz w:val="20"/>
          <w:szCs w:val="20"/>
        </w:rPr>
        <w:t>b. Consider revising Appendix C making it normative and not just informative. Include parameter optionality and cardinality.</w:t>
      </w:r>
    </w:p>
    <w:p w14:paraId="0DBCAC82" w14:textId="19D758C7" w:rsidR="00D1388C" w:rsidRDefault="00D1388C" w:rsidP="00D47247">
      <w:pPr>
        <w:spacing w:after="0"/>
        <w:ind w:left="270"/>
        <w:rPr>
          <w:sz w:val="20"/>
          <w:szCs w:val="20"/>
        </w:rPr>
      </w:pPr>
    </w:p>
    <w:p w14:paraId="79A5823D" w14:textId="256988D6" w:rsidR="00F43E96" w:rsidRDefault="00F43E96" w:rsidP="00F43E96">
      <w:pPr>
        <w:spacing w:after="0"/>
        <w:ind w:left="270"/>
        <w:rPr>
          <w:sz w:val="20"/>
          <w:szCs w:val="20"/>
        </w:rPr>
      </w:pPr>
      <w:r>
        <w:rPr>
          <w:sz w:val="20"/>
          <w:szCs w:val="20"/>
        </w:rPr>
        <w:t>c. Allow multiple Re</w:t>
      </w:r>
      <w:r>
        <w:rPr>
          <w:sz w:val="20"/>
          <w:szCs w:val="20"/>
        </w:rPr>
        <w:t>viewFiling</w:t>
      </w:r>
      <w:r>
        <w:rPr>
          <w:sz w:val="20"/>
          <w:szCs w:val="20"/>
        </w:rPr>
        <w:t>CallbackMessage elements within a Notify</w:t>
      </w:r>
      <w:r>
        <w:rPr>
          <w:sz w:val="20"/>
          <w:szCs w:val="20"/>
        </w:rPr>
        <w:t>FilingReviewCompleteRequest</w:t>
      </w:r>
      <w:r>
        <w:rPr>
          <w:sz w:val="20"/>
          <w:szCs w:val="20"/>
        </w:rPr>
        <w:t>.</w:t>
      </w:r>
      <w:r w:rsidR="00F224C2">
        <w:rPr>
          <w:sz w:val="20"/>
          <w:szCs w:val="20"/>
        </w:rPr>
        <w:t xml:space="preserve"> Note that if NotiyDocketingComplete is revised to allow </w:t>
      </w:r>
      <w:r w:rsidR="00F224C2">
        <w:rPr>
          <w:sz w:val="20"/>
          <w:szCs w:val="20"/>
        </w:rPr>
        <w:t>multiple RecordDocketingCallbackMessage elements</w:t>
      </w:r>
      <w:r w:rsidR="00F224C2">
        <w:rPr>
          <w:sz w:val="20"/>
          <w:szCs w:val="20"/>
        </w:rPr>
        <w:t xml:space="preserve"> (see #</w:t>
      </w:r>
      <w:r w:rsidR="008863AC">
        <w:rPr>
          <w:sz w:val="20"/>
          <w:szCs w:val="20"/>
        </w:rPr>
        <w:t>20</w:t>
      </w:r>
      <w:r w:rsidR="00F224C2">
        <w:rPr>
          <w:sz w:val="20"/>
          <w:szCs w:val="20"/>
        </w:rPr>
        <w:t xml:space="preserve"> 2.c above) this this revision is essential.</w:t>
      </w:r>
    </w:p>
    <w:p w14:paraId="282CC623" w14:textId="77777777" w:rsidR="00D1388C" w:rsidRDefault="00D1388C" w:rsidP="00D47247">
      <w:pPr>
        <w:spacing w:after="0"/>
        <w:ind w:left="270"/>
        <w:rPr>
          <w:sz w:val="20"/>
          <w:szCs w:val="20"/>
        </w:rPr>
      </w:pPr>
    </w:p>
    <w:p w14:paraId="0FEB892F" w14:textId="05A894A9" w:rsidR="00245C92" w:rsidRDefault="00245C92" w:rsidP="00245C92">
      <w:pPr>
        <w:spacing w:after="0"/>
        <w:ind w:left="450"/>
        <w:rPr>
          <w:sz w:val="20"/>
          <w:szCs w:val="20"/>
        </w:rPr>
      </w:pPr>
      <w:r>
        <w:rPr>
          <w:sz w:val="20"/>
          <w:szCs w:val="20"/>
        </w:rPr>
        <w:t>c.1 If Notify</w:t>
      </w:r>
      <w:r>
        <w:rPr>
          <w:sz w:val="20"/>
          <w:szCs w:val="20"/>
        </w:rPr>
        <w:t>FilingReview</w:t>
      </w:r>
      <w:r>
        <w:rPr>
          <w:sz w:val="20"/>
          <w:szCs w:val="20"/>
        </w:rPr>
        <w:t>Complete</w:t>
      </w:r>
      <w:r>
        <w:rPr>
          <w:sz w:val="20"/>
          <w:szCs w:val="20"/>
        </w:rPr>
        <w:t>Request</w:t>
      </w:r>
      <w:r>
        <w:rPr>
          <w:sz w:val="20"/>
          <w:szCs w:val="20"/>
        </w:rPr>
        <w:t xml:space="preserve"> is not revised to permit multiple Re</w:t>
      </w:r>
      <w:r>
        <w:rPr>
          <w:sz w:val="20"/>
          <w:szCs w:val="20"/>
        </w:rPr>
        <w:t>viewFiling</w:t>
      </w:r>
      <w:r>
        <w:rPr>
          <w:sz w:val="20"/>
          <w:szCs w:val="20"/>
        </w:rPr>
        <w:t>CallbackMessages, then revise section 3.2.</w:t>
      </w:r>
      <w:r>
        <w:rPr>
          <w:sz w:val="20"/>
          <w:szCs w:val="20"/>
        </w:rPr>
        <w:t>8</w:t>
      </w:r>
      <w:r>
        <w:rPr>
          <w:sz w:val="20"/>
          <w:szCs w:val="20"/>
        </w:rPr>
        <w:t xml:space="preserve"> ‘Notify</w:t>
      </w:r>
      <w:r>
        <w:rPr>
          <w:sz w:val="20"/>
          <w:szCs w:val="20"/>
        </w:rPr>
        <w:t>FilingReview</w:t>
      </w:r>
      <w:r>
        <w:rPr>
          <w:sz w:val="20"/>
          <w:szCs w:val="20"/>
        </w:rPr>
        <w:t>Complete’ to require a callback message for each LeadDocument that has been provided on the Re</w:t>
      </w:r>
      <w:r>
        <w:rPr>
          <w:sz w:val="20"/>
          <w:szCs w:val="20"/>
        </w:rPr>
        <w:t>viewFiling</w:t>
      </w:r>
      <w:r>
        <w:rPr>
          <w:sz w:val="20"/>
          <w:szCs w:val="20"/>
        </w:rPr>
        <w:t xml:space="preserve"> request. These multiple NotifyFilingReviewCompleteReques</w:t>
      </w:r>
      <w:r>
        <w:rPr>
          <w:sz w:val="20"/>
          <w:szCs w:val="20"/>
        </w:rPr>
        <w:t>t</w:t>
      </w:r>
      <w:r>
        <w:rPr>
          <w:sz w:val="20"/>
          <w:szCs w:val="20"/>
        </w:rPr>
        <w:t>s</w:t>
      </w:r>
      <w:r w:rsidR="00E33F4E">
        <w:rPr>
          <w:sz w:val="20"/>
          <w:szCs w:val="20"/>
        </w:rPr>
        <w:t>,</w:t>
      </w:r>
      <w:r>
        <w:rPr>
          <w:sz w:val="20"/>
          <w:szCs w:val="20"/>
        </w:rPr>
        <w:t xml:space="preserve"> responding to a single Re</w:t>
      </w:r>
      <w:r>
        <w:rPr>
          <w:sz w:val="20"/>
          <w:szCs w:val="20"/>
        </w:rPr>
        <w:t>viewFil</w:t>
      </w:r>
      <w:r>
        <w:rPr>
          <w:sz w:val="20"/>
          <w:szCs w:val="20"/>
        </w:rPr>
        <w:t>ing request</w:t>
      </w:r>
      <w:r w:rsidR="00E33F4E">
        <w:rPr>
          <w:sz w:val="20"/>
          <w:szCs w:val="20"/>
        </w:rPr>
        <w:t>,</w:t>
      </w:r>
      <w:r>
        <w:rPr>
          <w:sz w:val="20"/>
          <w:szCs w:val="20"/>
        </w:rPr>
        <w:t xml:space="preserve"> need not all be provided in quick succession (e.g., time gaps, short or long, between callback messages are permitted).</w:t>
      </w:r>
    </w:p>
    <w:p w14:paraId="047BF00F" w14:textId="21B5312A" w:rsidR="00245C92" w:rsidRDefault="00245C92" w:rsidP="001D3AAE">
      <w:pPr>
        <w:spacing w:after="0"/>
        <w:rPr>
          <w:sz w:val="20"/>
          <w:szCs w:val="20"/>
        </w:rPr>
      </w:pPr>
    </w:p>
    <w:p w14:paraId="2D382D8A" w14:textId="77777777" w:rsidR="002C3780" w:rsidRDefault="002C3780" w:rsidP="001D3AAE">
      <w:pPr>
        <w:spacing w:after="0"/>
        <w:rPr>
          <w:sz w:val="20"/>
          <w:szCs w:val="20"/>
        </w:rPr>
      </w:pPr>
    </w:p>
    <w:p w14:paraId="193BB31E" w14:textId="65CE35FB" w:rsidR="009A0AB7" w:rsidRDefault="000207F2" w:rsidP="00E2458E">
      <w:pPr>
        <w:spacing w:after="0"/>
        <w:rPr>
          <w:sz w:val="20"/>
          <w:szCs w:val="20"/>
        </w:rPr>
      </w:pPr>
      <w:r>
        <w:rPr>
          <w:sz w:val="20"/>
          <w:szCs w:val="20"/>
        </w:rPr>
        <w:t>2</w:t>
      </w:r>
      <w:r w:rsidR="008863AC">
        <w:rPr>
          <w:sz w:val="20"/>
          <w:szCs w:val="20"/>
        </w:rPr>
        <w:t>2</w:t>
      </w:r>
      <w:r>
        <w:rPr>
          <w:sz w:val="20"/>
          <w:szCs w:val="20"/>
        </w:rPr>
        <w:t>. Incorrect version reference.</w:t>
      </w:r>
    </w:p>
    <w:p w14:paraId="03B8D0E3" w14:textId="64324325" w:rsidR="000207F2" w:rsidRDefault="000207F2" w:rsidP="00E2458E">
      <w:pPr>
        <w:spacing w:after="0"/>
        <w:rPr>
          <w:sz w:val="20"/>
          <w:szCs w:val="20"/>
        </w:rPr>
      </w:pPr>
    </w:p>
    <w:p w14:paraId="7746C27F" w14:textId="359C7A99" w:rsidR="000207F2" w:rsidRDefault="000207F2" w:rsidP="006A2A76">
      <w:pPr>
        <w:spacing w:after="0"/>
        <w:ind w:left="360"/>
        <w:rPr>
          <w:sz w:val="20"/>
          <w:szCs w:val="20"/>
        </w:rPr>
      </w:pPr>
      <w:r>
        <w:rPr>
          <w:sz w:val="20"/>
          <w:szCs w:val="20"/>
        </w:rPr>
        <w:t>Appendix A ‘(Informative) Release Notes’, subsection A.2 ‘Package Structure’ line (1210) provides: “</w:t>
      </w:r>
      <w:r w:rsidRPr="000207F2">
        <w:rPr>
          <w:color w:val="0070C0"/>
          <w:sz w:val="20"/>
          <w:szCs w:val="20"/>
        </w:rPr>
        <w:t>The files in these subdirectories, linked to the specification document, contain the various normative and informational pieces of the 1.0 release</w:t>
      </w:r>
      <w:r>
        <w:rPr>
          <w:sz w:val="20"/>
          <w:szCs w:val="20"/>
        </w:rPr>
        <w:t xml:space="preserve">”. </w:t>
      </w:r>
    </w:p>
    <w:p w14:paraId="6F9E9498" w14:textId="14A1A324" w:rsidR="009A0AB7" w:rsidRDefault="009A0AB7" w:rsidP="006A2A76">
      <w:pPr>
        <w:spacing w:after="0"/>
        <w:ind w:left="360"/>
        <w:rPr>
          <w:sz w:val="20"/>
          <w:szCs w:val="20"/>
        </w:rPr>
      </w:pPr>
    </w:p>
    <w:p w14:paraId="17FC54E0" w14:textId="698BBEBB" w:rsidR="000207F2" w:rsidRDefault="000207F2" w:rsidP="006A2A76">
      <w:pPr>
        <w:spacing w:after="0"/>
        <w:ind w:left="360"/>
        <w:rPr>
          <w:sz w:val="20"/>
          <w:szCs w:val="20"/>
        </w:rPr>
      </w:pPr>
      <w:r>
        <w:rPr>
          <w:sz w:val="20"/>
          <w:szCs w:val="20"/>
        </w:rPr>
        <w:t>The reference to ‘the 1.0 release’ appears to be incorrect</w:t>
      </w:r>
      <w:r w:rsidR="006A2A76">
        <w:rPr>
          <w:sz w:val="20"/>
          <w:szCs w:val="20"/>
        </w:rPr>
        <w:t xml:space="preserve"> i</w:t>
      </w:r>
      <w:r>
        <w:rPr>
          <w:sz w:val="20"/>
          <w:szCs w:val="20"/>
        </w:rPr>
        <w:t xml:space="preserve">f the word ‘release’ is to be generally understood as ‘version’. </w:t>
      </w:r>
    </w:p>
    <w:p w14:paraId="0C7D2BCB" w14:textId="3905C365" w:rsidR="006A2A76" w:rsidRDefault="006A2A76" w:rsidP="006A2A76">
      <w:pPr>
        <w:spacing w:after="0"/>
        <w:ind w:left="360"/>
        <w:rPr>
          <w:sz w:val="20"/>
          <w:szCs w:val="20"/>
        </w:rPr>
      </w:pPr>
    </w:p>
    <w:p w14:paraId="2D25B975" w14:textId="6F86986E" w:rsidR="006A2A76" w:rsidRPr="009501A7" w:rsidRDefault="006A2A76" w:rsidP="006A2A76">
      <w:pPr>
        <w:spacing w:after="0"/>
        <w:ind w:left="360"/>
        <w:rPr>
          <w:sz w:val="20"/>
          <w:szCs w:val="20"/>
        </w:rPr>
      </w:pPr>
      <w:r>
        <w:rPr>
          <w:sz w:val="20"/>
          <w:szCs w:val="20"/>
        </w:rPr>
        <w:t xml:space="preserve">Recommendation: Correct the statement in Appendix A, subsection A.2 to provide the correct version number. </w:t>
      </w:r>
    </w:p>
    <w:p w14:paraId="0CBB3772" w14:textId="77777777" w:rsidR="009501A7" w:rsidRDefault="009501A7" w:rsidP="00E2458E">
      <w:pPr>
        <w:spacing w:after="0"/>
        <w:rPr>
          <w:sz w:val="20"/>
          <w:szCs w:val="20"/>
        </w:rPr>
      </w:pPr>
    </w:p>
    <w:p w14:paraId="2361F8CE" w14:textId="402F8CB8" w:rsidR="00670D45" w:rsidRDefault="00670D45" w:rsidP="00E2458E">
      <w:pPr>
        <w:spacing w:after="0"/>
        <w:rPr>
          <w:sz w:val="20"/>
          <w:szCs w:val="20"/>
        </w:rPr>
      </w:pPr>
    </w:p>
    <w:p w14:paraId="7B363FFD" w14:textId="349F071D" w:rsidR="00784408" w:rsidRDefault="00784408" w:rsidP="00E2458E">
      <w:pPr>
        <w:spacing w:after="0"/>
        <w:rPr>
          <w:sz w:val="20"/>
          <w:szCs w:val="20"/>
        </w:rPr>
      </w:pPr>
      <w:r>
        <w:rPr>
          <w:sz w:val="20"/>
          <w:szCs w:val="20"/>
        </w:rPr>
        <w:t>2</w:t>
      </w:r>
      <w:r w:rsidR="008863AC">
        <w:rPr>
          <w:sz w:val="20"/>
          <w:szCs w:val="20"/>
        </w:rPr>
        <w:t>3</w:t>
      </w:r>
      <w:r>
        <w:rPr>
          <w:sz w:val="20"/>
          <w:szCs w:val="20"/>
        </w:rPr>
        <w:t>. Root folder name</w:t>
      </w:r>
    </w:p>
    <w:p w14:paraId="283BB44B" w14:textId="158079F7" w:rsidR="00784408" w:rsidRDefault="00784408" w:rsidP="00E2458E">
      <w:pPr>
        <w:spacing w:after="0"/>
        <w:rPr>
          <w:sz w:val="20"/>
          <w:szCs w:val="20"/>
        </w:rPr>
      </w:pPr>
    </w:p>
    <w:p w14:paraId="7CD3AE9A" w14:textId="0F15AB78" w:rsidR="00784408" w:rsidRDefault="00784408" w:rsidP="00784408">
      <w:pPr>
        <w:spacing w:after="0"/>
        <w:ind w:left="360"/>
        <w:rPr>
          <w:sz w:val="20"/>
          <w:szCs w:val="20"/>
        </w:rPr>
      </w:pPr>
      <w:r>
        <w:rPr>
          <w:sz w:val="20"/>
          <w:szCs w:val="20"/>
        </w:rPr>
        <w:t>In Appendix A, subsection A.2 ‘Package Structure’ is says: ‘</w:t>
      </w:r>
      <w:r w:rsidRPr="00784408">
        <w:rPr>
          <w:color w:val="0070C0"/>
          <w:sz w:val="20"/>
          <w:szCs w:val="20"/>
        </w:rPr>
        <w:t xml:space="preserve">Unzipping this archive creates a directory named </w:t>
      </w:r>
      <w:r w:rsidRPr="00784408">
        <w:rPr>
          <w:rFonts w:ascii="Courier New" w:hAnsi="Courier New" w:cs="Courier New"/>
          <w:color w:val="0070C0"/>
          <w:sz w:val="20"/>
          <w:szCs w:val="20"/>
        </w:rPr>
        <w:t>ecf-4.1/</w:t>
      </w:r>
      <w:r w:rsidRPr="00784408">
        <w:rPr>
          <w:color w:val="0070C0"/>
          <w:sz w:val="20"/>
          <w:szCs w:val="20"/>
        </w:rPr>
        <w:t xml:space="preserve"> containing this specification document and a number of subdirectories.</w:t>
      </w:r>
      <w:r>
        <w:rPr>
          <w:sz w:val="20"/>
          <w:szCs w:val="20"/>
        </w:rPr>
        <w:t xml:space="preserve">’ </w:t>
      </w:r>
    </w:p>
    <w:p w14:paraId="4D5FCB26" w14:textId="6F013F41" w:rsidR="00784408" w:rsidRDefault="00784408" w:rsidP="00784408">
      <w:pPr>
        <w:spacing w:after="0"/>
        <w:ind w:left="360"/>
        <w:rPr>
          <w:sz w:val="20"/>
          <w:szCs w:val="20"/>
        </w:rPr>
      </w:pPr>
    </w:p>
    <w:p w14:paraId="1DE48146" w14:textId="2D6AAE10" w:rsidR="00784408" w:rsidRDefault="00784408" w:rsidP="00784408">
      <w:pPr>
        <w:spacing w:after="0"/>
        <w:ind w:left="360"/>
        <w:rPr>
          <w:rFonts w:cstheme="minorHAnsi"/>
          <w:sz w:val="20"/>
          <w:szCs w:val="20"/>
        </w:rPr>
      </w:pPr>
      <w:r>
        <w:rPr>
          <w:sz w:val="20"/>
          <w:szCs w:val="20"/>
        </w:rPr>
        <w:t xml:space="preserve">In the current Public Review package, the root folder created upon unzipping the </w:t>
      </w:r>
      <w:r w:rsidRPr="00784408">
        <w:rPr>
          <w:rFonts w:ascii="Courier New" w:hAnsi="Courier New" w:cs="Courier New"/>
          <w:sz w:val="20"/>
          <w:szCs w:val="20"/>
        </w:rPr>
        <w:t>ecf-webservices-v4.1-cs</w:t>
      </w:r>
      <w:r w:rsidR="00767F67">
        <w:rPr>
          <w:rFonts w:ascii="Courier New" w:hAnsi="Courier New" w:cs="Courier New"/>
          <w:sz w:val="20"/>
          <w:szCs w:val="20"/>
        </w:rPr>
        <w:t>d</w:t>
      </w:r>
      <w:r w:rsidRPr="00784408">
        <w:rPr>
          <w:rFonts w:ascii="Courier New" w:hAnsi="Courier New" w:cs="Courier New"/>
          <w:sz w:val="20"/>
          <w:szCs w:val="20"/>
        </w:rPr>
        <w:t>01.zip</w:t>
      </w:r>
      <w:r>
        <w:rPr>
          <w:sz w:val="20"/>
          <w:szCs w:val="20"/>
        </w:rPr>
        <w:t xml:space="preserve"> file is </w:t>
      </w:r>
      <w:r w:rsidRPr="00784408">
        <w:rPr>
          <w:rFonts w:ascii="Courier New" w:hAnsi="Courier New" w:cs="Courier New"/>
          <w:sz w:val="20"/>
          <w:szCs w:val="20"/>
        </w:rPr>
        <w:t>ecf-v4.1-csd01</w:t>
      </w:r>
      <w:r>
        <w:rPr>
          <w:rFonts w:cstheme="minorHAnsi"/>
          <w:sz w:val="20"/>
          <w:szCs w:val="20"/>
        </w:rPr>
        <w:t>.</w:t>
      </w:r>
    </w:p>
    <w:p w14:paraId="0FF9393E" w14:textId="6715C3EE" w:rsidR="00784408" w:rsidRDefault="00784408" w:rsidP="00784408">
      <w:pPr>
        <w:spacing w:after="0"/>
        <w:ind w:left="360"/>
        <w:rPr>
          <w:rFonts w:cstheme="minorHAnsi"/>
          <w:sz w:val="20"/>
          <w:szCs w:val="20"/>
        </w:rPr>
      </w:pPr>
    </w:p>
    <w:p w14:paraId="490A7B72" w14:textId="4F91C200" w:rsidR="00784408" w:rsidRDefault="00784408" w:rsidP="00784408">
      <w:pPr>
        <w:spacing w:after="0"/>
        <w:ind w:left="360"/>
        <w:rPr>
          <w:rFonts w:cstheme="minorHAnsi"/>
          <w:sz w:val="20"/>
          <w:szCs w:val="20"/>
        </w:rPr>
      </w:pPr>
      <w:r>
        <w:rPr>
          <w:rFonts w:cstheme="minorHAnsi"/>
          <w:sz w:val="20"/>
          <w:szCs w:val="20"/>
        </w:rPr>
        <w:t xml:space="preserve">Perhaps the file and folder names will be </w:t>
      </w:r>
      <w:r w:rsidR="00767F67">
        <w:rPr>
          <w:rFonts w:cstheme="minorHAnsi"/>
          <w:sz w:val="20"/>
          <w:szCs w:val="20"/>
        </w:rPr>
        <w:t>as currently provided in section A.2</w:t>
      </w:r>
      <w:r>
        <w:rPr>
          <w:rFonts w:cstheme="minorHAnsi"/>
          <w:sz w:val="20"/>
          <w:szCs w:val="20"/>
        </w:rPr>
        <w:t xml:space="preserve"> in the approved </w:t>
      </w:r>
      <w:r w:rsidR="00767F67">
        <w:rPr>
          <w:rFonts w:cstheme="minorHAnsi"/>
          <w:sz w:val="20"/>
          <w:szCs w:val="20"/>
        </w:rPr>
        <w:t>Committee Draft version, but it seems likely that the csd01 designation will remain.</w:t>
      </w:r>
    </w:p>
    <w:p w14:paraId="25CC5C28" w14:textId="2BF8426C" w:rsidR="00767F67" w:rsidRDefault="00767F67" w:rsidP="00784408">
      <w:pPr>
        <w:spacing w:after="0"/>
        <w:ind w:left="360"/>
        <w:rPr>
          <w:rFonts w:cstheme="minorHAnsi"/>
          <w:sz w:val="20"/>
          <w:szCs w:val="20"/>
        </w:rPr>
      </w:pPr>
    </w:p>
    <w:p w14:paraId="6E19058B" w14:textId="44D1E964" w:rsidR="00767F67" w:rsidRDefault="00767F67" w:rsidP="00784408">
      <w:pPr>
        <w:spacing w:after="0"/>
        <w:ind w:left="360"/>
        <w:rPr>
          <w:rFonts w:cstheme="minorHAnsi"/>
          <w:sz w:val="20"/>
          <w:szCs w:val="20"/>
        </w:rPr>
      </w:pPr>
      <w:r>
        <w:rPr>
          <w:rFonts w:cstheme="minorHAnsi"/>
          <w:sz w:val="20"/>
          <w:szCs w:val="20"/>
        </w:rPr>
        <w:t>A</w:t>
      </w:r>
      <w:r w:rsidR="00520A46">
        <w:rPr>
          <w:rFonts w:cstheme="minorHAnsi"/>
          <w:sz w:val="20"/>
          <w:szCs w:val="20"/>
        </w:rPr>
        <w:t>s</w:t>
      </w:r>
      <w:r>
        <w:rPr>
          <w:rFonts w:cstheme="minorHAnsi"/>
          <w:sz w:val="20"/>
          <w:szCs w:val="20"/>
        </w:rPr>
        <w:t xml:space="preserve"> currently provided, this inaccuracy may be disadvantageous to Public Reviewers, especially those who are not ECF TC members.</w:t>
      </w:r>
    </w:p>
    <w:p w14:paraId="23E5870B" w14:textId="377A70B0" w:rsidR="00767F67" w:rsidRDefault="00767F67" w:rsidP="00784408">
      <w:pPr>
        <w:spacing w:after="0"/>
        <w:ind w:left="360"/>
        <w:rPr>
          <w:rFonts w:cstheme="minorHAnsi"/>
          <w:sz w:val="20"/>
          <w:szCs w:val="20"/>
        </w:rPr>
      </w:pPr>
    </w:p>
    <w:p w14:paraId="44E487C6" w14:textId="77777777" w:rsidR="005F5E43" w:rsidRDefault="00767F67" w:rsidP="00784408">
      <w:pPr>
        <w:spacing w:after="0"/>
        <w:ind w:left="360"/>
        <w:rPr>
          <w:rFonts w:cstheme="minorHAnsi"/>
          <w:sz w:val="20"/>
          <w:szCs w:val="20"/>
        </w:rPr>
      </w:pPr>
      <w:r>
        <w:rPr>
          <w:rFonts w:cstheme="minorHAnsi"/>
          <w:sz w:val="20"/>
          <w:szCs w:val="20"/>
        </w:rPr>
        <w:t xml:space="preserve">Recommendation: </w:t>
      </w:r>
    </w:p>
    <w:p w14:paraId="506E1302" w14:textId="77777777" w:rsidR="005F5E43" w:rsidRDefault="005F5E43" w:rsidP="00784408">
      <w:pPr>
        <w:spacing w:after="0"/>
        <w:ind w:left="360"/>
        <w:rPr>
          <w:rFonts w:cstheme="minorHAnsi"/>
          <w:sz w:val="20"/>
          <w:szCs w:val="20"/>
        </w:rPr>
      </w:pPr>
    </w:p>
    <w:p w14:paraId="470AED81" w14:textId="77777777" w:rsidR="005F5E43" w:rsidRDefault="005F5E43" w:rsidP="00784408">
      <w:pPr>
        <w:spacing w:after="0"/>
        <w:ind w:left="360"/>
        <w:rPr>
          <w:rFonts w:cstheme="minorHAnsi"/>
          <w:sz w:val="20"/>
          <w:szCs w:val="20"/>
        </w:rPr>
      </w:pPr>
      <w:r>
        <w:rPr>
          <w:rFonts w:cstheme="minorHAnsi"/>
          <w:sz w:val="20"/>
          <w:szCs w:val="20"/>
        </w:rPr>
        <w:t xml:space="preserve">a. </w:t>
      </w:r>
      <w:r w:rsidR="007C379B">
        <w:rPr>
          <w:rFonts w:cstheme="minorHAnsi"/>
          <w:sz w:val="20"/>
          <w:szCs w:val="20"/>
        </w:rPr>
        <w:t>Consider how these references should be provided through various iterations in the specification drafting, working, review, public review and approval cycle. The TC should consider writing and maintaining a document describing the process for updating specification documents and pro</w:t>
      </w:r>
      <w:r w:rsidR="00950E36">
        <w:rPr>
          <w:rFonts w:cstheme="minorHAnsi"/>
          <w:sz w:val="20"/>
          <w:szCs w:val="20"/>
        </w:rPr>
        <w:t>ducing</w:t>
      </w:r>
      <w:r w:rsidR="007C379B">
        <w:rPr>
          <w:rFonts w:cstheme="minorHAnsi"/>
          <w:sz w:val="20"/>
          <w:szCs w:val="20"/>
        </w:rPr>
        <w:t xml:space="preserve"> distribution kits (e.g., zip files).</w:t>
      </w:r>
      <w:r w:rsidR="005238BE">
        <w:rPr>
          <w:rFonts w:cstheme="minorHAnsi"/>
          <w:sz w:val="20"/>
          <w:szCs w:val="20"/>
        </w:rPr>
        <w:t xml:space="preserve"> </w:t>
      </w:r>
    </w:p>
    <w:p w14:paraId="6725A27A" w14:textId="77777777" w:rsidR="005F5E43" w:rsidRDefault="005F5E43" w:rsidP="00784408">
      <w:pPr>
        <w:spacing w:after="0"/>
        <w:ind w:left="360"/>
        <w:rPr>
          <w:rFonts w:cstheme="minorHAnsi"/>
          <w:sz w:val="20"/>
          <w:szCs w:val="20"/>
        </w:rPr>
      </w:pPr>
    </w:p>
    <w:p w14:paraId="6F41D28C" w14:textId="2DBD813B" w:rsidR="00767F67" w:rsidRPr="00784408" w:rsidRDefault="005F5E43" w:rsidP="00784408">
      <w:pPr>
        <w:spacing w:after="0"/>
        <w:ind w:left="360"/>
        <w:rPr>
          <w:rFonts w:cstheme="minorHAnsi"/>
          <w:sz w:val="20"/>
          <w:szCs w:val="20"/>
        </w:rPr>
      </w:pPr>
      <w:r>
        <w:rPr>
          <w:rFonts w:cstheme="minorHAnsi"/>
          <w:sz w:val="20"/>
          <w:szCs w:val="20"/>
        </w:rPr>
        <w:t xml:space="preserve">b. </w:t>
      </w:r>
      <w:r w:rsidR="005238BE">
        <w:rPr>
          <w:rFonts w:cstheme="minorHAnsi"/>
          <w:sz w:val="20"/>
          <w:szCs w:val="20"/>
        </w:rPr>
        <w:t xml:space="preserve">Update Appendix A for the appropriate </w:t>
      </w:r>
      <w:r w:rsidR="005238BE" w:rsidRPr="005F5E43">
        <w:rPr>
          <w:rFonts w:ascii="Courier New" w:hAnsi="Courier New" w:cs="Courier New"/>
          <w:sz w:val="20"/>
          <w:szCs w:val="20"/>
        </w:rPr>
        <w:t>csd01</w:t>
      </w:r>
      <w:r w:rsidR="005238BE">
        <w:rPr>
          <w:rFonts w:cstheme="minorHAnsi"/>
          <w:sz w:val="20"/>
          <w:szCs w:val="20"/>
        </w:rPr>
        <w:t xml:space="preserve"> designators.</w:t>
      </w:r>
    </w:p>
    <w:p w14:paraId="51403E5C" w14:textId="2C36DE55" w:rsidR="00784408" w:rsidRDefault="00784408" w:rsidP="00E2458E">
      <w:pPr>
        <w:spacing w:after="0"/>
        <w:rPr>
          <w:sz w:val="20"/>
          <w:szCs w:val="20"/>
        </w:rPr>
      </w:pPr>
    </w:p>
    <w:p w14:paraId="4FFC2B1C" w14:textId="77777777" w:rsidR="00622FE0" w:rsidRDefault="00622FE0" w:rsidP="00E2458E">
      <w:pPr>
        <w:spacing w:after="0"/>
        <w:rPr>
          <w:sz w:val="20"/>
          <w:szCs w:val="20"/>
        </w:rPr>
      </w:pPr>
    </w:p>
    <w:p w14:paraId="62D0C526" w14:textId="70AB3396" w:rsidR="00784408" w:rsidRDefault="00622FE0" w:rsidP="00E2458E">
      <w:pPr>
        <w:spacing w:after="0"/>
        <w:rPr>
          <w:sz w:val="20"/>
          <w:szCs w:val="20"/>
        </w:rPr>
      </w:pPr>
      <w:r>
        <w:rPr>
          <w:sz w:val="20"/>
          <w:szCs w:val="20"/>
        </w:rPr>
        <w:t>2</w:t>
      </w:r>
      <w:r w:rsidR="008863AC">
        <w:rPr>
          <w:sz w:val="20"/>
          <w:szCs w:val="20"/>
        </w:rPr>
        <w:t>4</w:t>
      </w:r>
      <w:r>
        <w:rPr>
          <w:sz w:val="20"/>
          <w:szCs w:val="20"/>
        </w:rPr>
        <w:t>. Depth of Recursive Structures</w:t>
      </w:r>
    </w:p>
    <w:p w14:paraId="3DDBE210" w14:textId="377C54B5" w:rsidR="00622FE0" w:rsidRDefault="00622FE0" w:rsidP="00E2458E">
      <w:pPr>
        <w:spacing w:after="0"/>
        <w:rPr>
          <w:sz w:val="20"/>
          <w:szCs w:val="20"/>
        </w:rPr>
      </w:pPr>
    </w:p>
    <w:p w14:paraId="37CA75E0" w14:textId="7DFAFF63" w:rsidR="00622FE0" w:rsidRDefault="00922E56" w:rsidP="00622FE0">
      <w:pPr>
        <w:spacing w:after="0"/>
        <w:ind w:left="360"/>
        <w:rPr>
          <w:sz w:val="20"/>
          <w:szCs w:val="20"/>
        </w:rPr>
      </w:pPr>
      <w:r>
        <w:rPr>
          <w:sz w:val="20"/>
          <w:szCs w:val="20"/>
        </w:rPr>
        <w:t>Recommendation: T</w:t>
      </w:r>
      <w:r w:rsidR="00622FE0">
        <w:rPr>
          <w:sz w:val="20"/>
          <w:szCs w:val="20"/>
        </w:rPr>
        <w:t xml:space="preserve">he advisory that implementations may limit the depth of recursive structures </w:t>
      </w:r>
      <w:r w:rsidR="008F4813">
        <w:rPr>
          <w:sz w:val="20"/>
          <w:szCs w:val="20"/>
        </w:rPr>
        <w:t xml:space="preserve">in section A.3 </w:t>
      </w:r>
      <w:r w:rsidR="00622FE0">
        <w:rPr>
          <w:sz w:val="20"/>
          <w:szCs w:val="20"/>
        </w:rPr>
        <w:t>include a recommendation or requirement that any such limit or restriction be included in Court Policy?</w:t>
      </w:r>
    </w:p>
    <w:p w14:paraId="66525B6B" w14:textId="77777777" w:rsidR="00784408" w:rsidRDefault="00784408" w:rsidP="00E2458E">
      <w:pPr>
        <w:spacing w:after="0"/>
        <w:rPr>
          <w:sz w:val="20"/>
          <w:szCs w:val="20"/>
        </w:rPr>
      </w:pPr>
    </w:p>
    <w:p w14:paraId="45374B2F" w14:textId="77777777" w:rsidR="00753ADA" w:rsidRDefault="00753ADA" w:rsidP="00784408">
      <w:pPr>
        <w:spacing w:after="0"/>
        <w:rPr>
          <w:sz w:val="20"/>
          <w:szCs w:val="20"/>
        </w:rPr>
      </w:pPr>
    </w:p>
    <w:p w14:paraId="4BA38F50" w14:textId="21980E3D" w:rsidR="00784408" w:rsidRDefault="00784408" w:rsidP="00784408">
      <w:pPr>
        <w:spacing w:after="0"/>
        <w:rPr>
          <w:sz w:val="20"/>
          <w:szCs w:val="20"/>
        </w:rPr>
      </w:pPr>
      <w:r>
        <w:rPr>
          <w:sz w:val="20"/>
          <w:szCs w:val="20"/>
        </w:rPr>
        <w:t>2</w:t>
      </w:r>
      <w:r w:rsidR="008863AC">
        <w:rPr>
          <w:sz w:val="20"/>
          <w:szCs w:val="20"/>
        </w:rPr>
        <w:t>5</w:t>
      </w:r>
      <w:r>
        <w:rPr>
          <w:sz w:val="20"/>
          <w:szCs w:val="20"/>
        </w:rPr>
        <w:t xml:space="preserve">. </w:t>
      </w:r>
      <w:r w:rsidR="00AF0004">
        <w:rPr>
          <w:sz w:val="20"/>
          <w:szCs w:val="20"/>
        </w:rPr>
        <w:t>Subdirectories</w:t>
      </w:r>
    </w:p>
    <w:p w14:paraId="5CBDCF98" w14:textId="77777777" w:rsidR="00784408" w:rsidRDefault="00784408" w:rsidP="00784408">
      <w:pPr>
        <w:spacing w:after="0"/>
        <w:rPr>
          <w:sz w:val="20"/>
          <w:szCs w:val="20"/>
        </w:rPr>
      </w:pPr>
    </w:p>
    <w:p w14:paraId="67F9CAA3" w14:textId="5D2F9087" w:rsidR="00784408" w:rsidRDefault="008528D3" w:rsidP="00867D34">
      <w:pPr>
        <w:spacing w:after="0"/>
        <w:ind w:left="360"/>
        <w:rPr>
          <w:sz w:val="20"/>
          <w:szCs w:val="20"/>
        </w:rPr>
      </w:pPr>
      <w:r>
        <w:rPr>
          <w:sz w:val="20"/>
          <w:szCs w:val="20"/>
        </w:rPr>
        <w:t>Appendix A, subsection A.2 ‘Package Structure’ states (line 1210): “</w:t>
      </w:r>
      <w:r w:rsidRPr="008528D3">
        <w:rPr>
          <w:color w:val="0070C0"/>
          <w:sz w:val="20"/>
          <w:szCs w:val="20"/>
        </w:rPr>
        <w:t>A description of each subdirectory is given below.</w:t>
      </w:r>
      <w:r>
        <w:rPr>
          <w:sz w:val="20"/>
          <w:szCs w:val="20"/>
        </w:rPr>
        <w:t>” Only 3 subdirectories are listed and described. Not included are: ‘ecf-v4.1-csd01_files’</w:t>
      </w:r>
      <w:r w:rsidR="00A6060B">
        <w:rPr>
          <w:sz w:val="20"/>
          <w:szCs w:val="20"/>
        </w:rPr>
        <w:t xml:space="preserve"> and </w:t>
      </w:r>
      <w:r>
        <w:rPr>
          <w:sz w:val="20"/>
          <w:szCs w:val="20"/>
        </w:rPr>
        <w:t>‘model’.</w:t>
      </w:r>
    </w:p>
    <w:p w14:paraId="73D8A511" w14:textId="594184CB" w:rsidR="008528D3" w:rsidRDefault="008528D3" w:rsidP="00867D34">
      <w:pPr>
        <w:spacing w:after="0"/>
        <w:ind w:left="360"/>
        <w:rPr>
          <w:sz w:val="20"/>
          <w:szCs w:val="20"/>
        </w:rPr>
      </w:pPr>
    </w:p>
    <w:p w14:paraId="41905742" w14:textId="149F4571" w:rsidR="008528D3" w:rsidRDefault="008528D3" w:rsidP="00867D34">
      <w:pPr>
        <w:spacing w:after="0"/>
        <w:ind w:left="360"/>
        <w:rPr>
          <w:sz w:val="20"/>
          <w:szCs w:val="20"/>
        </w:rPr>
      </w:pPr>
      <w:r>
        <w:rPr>
          <w:sz w:val="20"/>
          <w:szCs w:val="20"/>
        </w:rPr>
        <w:t>Recommendation: Include the missing subdirectories in the listing in A.2.</w:t>
      </w:r>
    </w:p>
    <w:p w14:paraId="3D37B720" w14:textId="1D790D82" w:rsidR="00867D34" w:rsidRDefault="00867D34" w:rsidP="008528D3">
      <w:pPr>
        <w:spacing w:after="0"/>
        <w:rPr>
          <w:sz w:val="20"/>
          <w:szCs w:val="20"/>
        </w:rPr>
      </w:pPr>
    </w:p>
    <w:p w14:paraId="10ED68AF" w14:textId="77777777" w:rsidR="00B05E68" w:rsidRDefault="00B05E68" w:rsidP="008528D3">
      <w:pPr>
        <w:spacing w:after="0"/>
        <w:rPr>
          <w:sz w:val="20"/>
          <w:szCs w:val="20"/>
        </w:rPr>
      </w:pPr>
    </w:p>
    <w:p w14:paraId="74DFCBBE" w14:textId="4A0F9A54" w:rsidR="00784408" w:rsidRDefault="005400FB" w:rsidP="00784408">
      <w:pPr>
        <w:spacing w:after="0"/>
        <w:rPr>
          <w:sz w:val="20"/>
          <w:szCs w:val="20"/>
        </w:rPr>
      </w:pPr>
      <w:r>
        <w:rPr>
          <w:sz w:val="20"/>
          <w:szCs w:val="20"/>
        </w:rPr>
        <w:t>2</w:t>
      </w:r>
      <w:r w:rsidR="008863AC">
        <w:rPr>
          <w:sz w:val="20"/>
          <w:szCs w:val="20"/>
        </w:rPr>
        <w:t>6</w:t>
      </w:r>
      <w:r>
        <w:rPr>
          <w:sz w:val="20"/>
          <w:szCs w:val="20"/>
        </w:rPr>
        <w:t>. Record on Appeal</w:t>
      </w:r>
    </w:p>
    <w:p w14:paraId="040E0F01" w14:textId="2A625ADA" w:rsidR="005400FB" w:rsidRDefault="005400FB" w:rsidP="00784408">
      <w:pPr>
        <w:spacing w:after="0"/>
        <w:rPr>
          <w:sz w:val="20"/>
          <w:szCs w:val="20"/>
        </w:rPr>
      </w:pPr>
    </w:p>
    <w:p w14:paraId="1A442D99" w14:textId="57BEA910" w:rsidR="005400FB" w:rsidRDefault="000B342A" w:rsidP="00E97516">
      <w:pPr>
        <w:spacing w:after="0"/>
        <w:ind w:left="360"/>
        <w:rPr>
          <w:sz w:val="20"/>
          <w:szCs w:val="20"/>
        </w:rPr>
      </w:pPr>
      <w:r>
        <w:rPr>
          <w:sz w:val="20"/>
          <w:szCs w:val="20"/>
        </w:rPr>
        <w:t>No schema is recommended for or provided for Record on Appeal transactions</w:t>
      </w:r>
      <w:r w:rsidR="008A5735">
        <w:rPr>
          <w:sz w:val="20"/>
          <w:szCs w:val="20"/>
        </w:rPr>
        <w:t xml:space="preserve"> (presumably this may be </w:t>
      </w:r>
      <w:r w:rsidR="005251EA">
        <w:rPr>
          <w:sz w:val="20"/>
          <w:szCs w:val="20"/>
        </w:rPr>
        <w:t>ReviewFilingRequest</w:t>
      </w:r>
      <w:r w:rsidR="008A5735">
        <w:rPr>
          <w:sz w:val="20"/>
          <w:szCs w:val="20"/>
        </w:rPr>
        <w:t>, but it is not stated)</w:t>
      </w:r>
      <w:r>
        <w:rPr>
          <w:sz w:val="20"/>
          <w:szCs w:val="20"/>
        </w:rPr>
        <w:t xml:space="preserve">. </w:t>
      </w:r>
      <w:r w:rsidR="00E73992">
        <w:rPr>
          <w:sz w:val="20"/>
          <w:szCs w:val="20"/>
        </w:rPr>
        <w:t>No illustrative example XML instances are provided.</w:t>
      </w:r>
      <w:r w:rsidR="003E5FFA">
        <w:rPr>
          <w:sz w:val="20"/>
          <w:szCs w:val="20"/>
        </w:rPr>
        <w:t xml:space="preserve"> ECF 5 provides a series of 8 Record on Appeal examples. Perhaps these can be ‘back-revised’ to ECF 4.1.</w:t>
      </w:r>
    </w:p>
    <w:p w14:paraId="3C7DA594" w14:textId="3B45E98B" w:rsidR="00E97516" w:rsidRDefault="00E97516" w:rsidP="00E97516">
      <w:pPr>
        <w:spacing w:after="0"/>
        <w:ind w:left="360"/>
        <w:rPr>
          <w:sz w:val="20"/>
          <w:szCs w:val="20"/>
        </w:rPr>
      </w:pPr>
    </w:p>
    <w:p w14:paraId="041D5DFB" w14:textId="60CE2DC0" w:rsidR="00E97516" w:rsidRDefault="00E97516" w:rsidP="00E97516">
      <w:pPr>
        <w:spacing w:after="0"/>
        <w:ind w:left="360"/>
        <w:rPr>
          <w:sz w:val="20"/>
          <w:szCs w:val="20"/>
        </w:rPr>
      </w:pPr>
      <w:r>
        <w:rPr>
          <w:sz w:val="20"/>
          <w:szCs w:val="20"/>
        </w:rPr>
        <w:t>Recommendation: Identify ECF messages and schema to be used for Record on Appeal transactions. Provide one or more illustrative XML instance examples.</w:t>
      </w:r>
      <w:r w:rsidR="008A5735">
        <w:rPr>
          <w:sz w:val="20"/>
          <w:szCs w:val="20"/>
        </w:rPr>
        <w:t xml:space="preserve"> </w:t>
      </w:r>
    </w:p>
    <w:p w14:paraId="564A617C" w14:textId="5419AEDE" w:rsidR="00047AF3" w:rsidRDefault="00047AF3" w:rsidP="00E2458E">
      <w:pPr>
        <w:spacing w:after="0"/>
        <w:rPr>
          <w:sz w:val="20"/>
          <w:szCs w:val="20"/>
        </w:rPr>
      </w:pPr>
    </w:p>
    <w:p w14:paraId="6B60D96C" w14:textId="77777777" w:rsidR="00B05E68" w:rsidRDefault="00B05E68" w:rsidP="00E2458E">
      <w:pPr>
        <w:spacing w:after="0"/>
        <w:rPr>
          <w:sz w:val="20"/>
          <w:szCs w:val="20"/>
        </w:rPr>
      </w:pPr>
    </w:p>
    <w:p w14:paraId="7A1623E5" w14:textId="4A15584D" w:rsidR="00903882" w:rsidRDefault="00903882" w:rsidP="00E2458E">
      <w:pPr>
        <w:spacing w:after="0"/>
        <w:rPr>
          <w:sz w:val="20"/>
          <w:szCs w:val="20"/>
        </w:rPr>
      </w:pPr>
      <w:r>
        <w:rPr>
          <w:sz w:val="20"/>
          <w:szCs w:val="20"/>
        </w:rPr>
        <w:t>2</w:t>
      </w:r>
      <w:r w:rsidR="008863AC">
        <w:rPr>
          <w:sz w:val="20"/>
          <w:szCs w:val="20"/>
        </w:rPr>
        <w:t>7</w:t>
      </w:r>
      <w:r>
        <w:rPr>
          <w:sz w:val="20"/>
          <w:szCs w:val="20"/>
        </w:rPr>
        <w:t>. Conformance Clause</w:t>
      </w:r>
    </w:p>
    <w:p w14:paraId="65EFB63F" w14:textId="382F8ECA" w:rsidR="00903882" w:rsidRDefault="00903882" w:rsidP="00E2458E">
      <w:pPr>
        <w:spacing w:after="0"/>
        <w:rPr>
          <w:sz w:val="20"/>
          <w:szCs w:val="20"/>
        </w:rPr>
      </w:pPr>
    </w:p>
    <w:p w14:paraId="1385B78C" w14:textId="32F5007D" w:rsidR="00903882" w:rsidRDefault="00903882" w:rsidP="00392637">
      <w:pPr>
        <w:spacing w:after="0"/>
        <w:ind w:left="360"/>
        <w:rPr>
          <w:sz w:val="20"/>
          <w:szCs w:val="20"/>
        </w:rPr>
      </w:pPr>
      <w:r>
        <w:rPr>
          <w:sz w:val="20"/>
          <w:szCs w:val="20"/>
        </w:rPr>
        <w:t xml:space="preserve">Section 2.2 ‘Work Product Components’ </w:t>
      </w:r>
      <w:r w:rsidR="0087618F">
        <w:rPr>
          <w:sz w:val="20"/>
          <w:szCs w:val="20"/>
        </w:rPr>
        <w:t>within the OASIS ‘Technical Committee (TC) Process’ provides:</w:t>
      </w:r>
    </w:p>
    <w:p w14:paraId="7C208B95" w14:textId="0797BA9C" w:rsidR="0087618F" w:rsidRDefault="0087618F" w:rsidP="00392637">
      <w:pPr>
        <w:spacing w:after="0"/>
        <w:ind w:left="360"/>
        <w:rPr>
          <w:sz w:val="20"/>
          <w:szCs w:val="20"/>
        </w:rPr>
      </w:pPr>
    </w:p>
    <w:p w14:paraId="62DEA04D" w14:textId="53E6E776" w:rsidR="0087618F" w:rsidRDefault="0087618F" w:rsidP="00392637">
      <w:pPr>
        <w:spacing w:after="0"/>
        <w:ind w:left="360"/>
        <w:rPr>
          <w:sz w:val="20"/>
          <w:szCs w:val="20"/>
        </w:rPr>
      </w:pPr>
      <w:r w:rsidRPr="0087618F">
        <w:rPr>
          <w:sz w:val="20"/>
          <w:szCs w:val="20"/>
        </w:rPr>
        <w:t xml:space="preserve">2.2.6 Conformance Clauses. </w:t>
      </w:r>
      <w:r w:rsidRPr="00392637">
        <w:rPr>
          <w:color w:val="0070C0"/>
          <w:sz w:val="20"/>
          <w:szCs w:val="20"/>
        </w:rPr>
        <w:t>A Standards Track Work Product that is approved by the TC at the Committee Specification Public Review Draft, Committee Specification or OASIS Standard level must include a separate section, listing a set of numbered conformance clauses, to which any implementation of the specification must adhere in order to claim conformance to the specification (or any optional portion thereof).</w:t>
      </w:r>
    </w:p>
    <w:p w14:paraId="5C4A8204" w14:textId="316ABFBA" w:rsidR="00392637" w:rsidRDefault="00392637" w:rsidP="00392637">
      <w:pPr>
        <w:spacing w:after="0"/>
        <w:ind w:left="360"/>
        <w:rPr>
          <w:sz w:val="20"/>
          <w:szCs w:val="20"/>
        </w:rPr>
      </w:pPr>
    </w:p>
    <w:p w14:paraId="674A081A" w14:textId="03250111" w:rsidR="00392637" w:rsidRDefault="00392637" w:rsidP="00392637">
      <w:pPr>
        <w:spacing w:after="0"/>
        <w:ind w:left="360"/>
        <w:rPr>
          <w:sz w:val="20"/>
          <w:szCs w:val="20"/>
        </w:rPr>
      </w:pPr>
      <w:r>
        <w:rPr>
          <w:sz w:val="20"/>
          <w:szCs w:val="20"/>
        </w:rPr>
        <w:t>A definition for Conformance Clause is provided in ‘Definitions of Key Terms’:</w:t>
      </w:r>
    </w:p>
    <w:p w14:paraId="3DA6A438" w14:textId="3CF6D748" w:rsidR="00392637" w:rsidRDefault="00392637" w:rsidP="00392637">
      <w:pPr>
        <w:spacing w:after="0"/>
        <w:ind w:left="360"/>
        <w:rPr>
          <w:sz w:val="20"/>
          <w:szCs w:val="20"/>
        </w:rPr>
      </w:pPr>
    </w:p>
    <w:p w14:paraId="64ADB4F4" w14:textId="7198B7A2" w:rsidR="00392637" w:rsidRPr="00392637" w:rsidRDefault="00392637" w:rsidP="00392637">
      <w:pPr>
        <w:spacing w:after="0"/>
        <w:ind w:left="360"/>
        <w:rPr>
          <w:color w:val="0070C0"/>
          <w:sz w:val="20"/>
          <w:szCs w:val="20"/>
        </w:rPr>
      </w:pPr>
      <w:r w:rsidRPr="00392637">
        <w:rPr>
          <w:color w:val="0070C0"/>
          <w:sz w:val="20"/>
          <w:szCs w:val="20"/>
        </w:rPr>
        <w:t>“Conformance clause” is a statement in a Standards Track Work Product that references one or more Normative Statements in order to describe a condition that an implementation must satisfy in order for it to conform to that part of the Work Product.</w:t>
      </w:r>
    </w:p>
    <w:p w14:paraId="0AC9C488" w14:textId="7D81F00E" w:rsidR="00392637" w:rsidRDefault="00392637" w:rsidP="00392637">
      <w:pPr>
        <w:spacing w:after="0"/>
        <w:ind w:left="360"/>
        <w:rPr>
          <w:sz w:val="20"/>
          <w:szCs w:val="20"/>
        </w:rPr>
      </w:pPr>
    </w:p>
    <w:p w14:paraId="7CE3319C" w14:textId="77777777" w:rsidR="00B05E68" w:rsidRDefault="00B05E68" w:rsidP="00392637">
      <w:pPr>
        <w:spacing w:after="0"/>
        <w:ind w:left="360"/>
        <w:rPr>
          <w:sz w:val="20"/>
          <w:szCs w:val="20"/>
        </w:rPr>
      </w:pPr>
    </w:p>
    <w:p w14:paraId="0807E643" w14:textId="6B60E964" w:rsidR="00392637" w:rsidRDefault="00392637" w:rsidP="00392637">
      <w:pPr>
        <w:spacing w:after="0"/>
        <w:ind w:left="360"/>
        <w:rPr>
          <w:sz w:val="20"/>
          <w:szCs w:val="20"/>
        </w:rPr>
      </w:pPr>
      <w:r>
        <w:rPr>
          <w:sz w:val="20"/>
          <w:szCs w:val="20"/>
        </w:rPr>
        <w:t>Presumably, Section 7 ‘Conformance’ has been provided in the ECF v4.1 specification to address this requirement. Section 7 provides:</w:t>
      </w:r>
    </w:p>
    <w:p w14:paraId="7FE69F21" w14:textId="4D73B44A" w:rsidR="00392637" w:rsidRDefault="00392637" w:rsidP="00392637">
      <w:pPr>
        <w:spacing w:after="0"/>
        <w:ind w:left="360"/>
        <w:rPr>
          <w:sz w:val="20"/>
          <w:szCs w:val="20"/>
        </w:rPr>
      </w:pPr>
    </w:p>
    <w:p w14:paraId="6AD86C19" w14:textId="73B1BF34" w:rsidR="00392637" w:rsidRPr="00392637" w:rsidRDefault="00392637" w:rsidP="00392637">
      <w:pPr>
        <w:spacing w:after="0"/>
        <w:ind w:left="360"/>
        <w:rPr>
          <w:color w:val="0070C0"/>
          <w:sz w:val="20"/>
          <w:szCs w:val="20"/>
        </w:rPr>
      </w:pPr>
      <w:r w:rsidRPr="00392637">
        <w:rPr>
          <w:color w:val="0070C0"/>
          <w:sz w:val="20"/>
          <w:szCs w:val="20"/>
        </w:rPr>
        <w:t>An implementation conforms with the Electronic Court Filing Version 4.1 if the implementation meets the requirements in Sections 1-6 including conformance with the XSD schemas and [Genericode] code lists referenced in Section 3 and 4.</w:t>
      </w:r>
    </w:p>
    <w:p w14:paraId="62FDAAB4" w14:textId="388AAA36" w:rsidR="0087618F" w:rsidRDefault="0087618F" w:rsidP="00E2458E">
      <w:pPr>
        <w:spacing w:after="0"/>
        <w:rPr>
          <w:sz w:val="20"/>
          <w:szCs w:val="20"/>
        </w:rPr>
      </w:pPr>
    </w:p>
    <w:p w14:paraId="3A745DB6" w14:textId="77777777" w:rsidR="00D04768" w:rsidRDefault="00D04768" w:rsidP="00D04768">
      <w:pPr>
        <w:spacing w:after="0"/>
        <w:ind w:left="360"/>
        <w:rPr>
          <w:sz w:val="20"/>
          <w:szCs w:val="20"/>
        </w:rPr>
      </w:pPr>
      <w:r>
        <w:rPr>
          <w:sz w:val="20"/>
          <w:szCs w:val="20"/>
        </w:rPr>
        <w:t xml:space="preserve">Other OASIS specifications provide enumerated compliance Rules within the specification’s Conformance section. </w:t>
      </w:r>
    </w:p>
    <w:p w14:paraId="1F8443BF" w14:textId="77777777" w:rsidR="00D04768" w:rsidRDefault="00D04768" w:rsidP="00D04768">
      <w:pPr>
        <w:spacing w:after="0"/>
        <w:ind w:left="360"/>
        <w:rPr>
          <w:sz w:val="20"/>
          <w:szCs w:val="20"/>
        </w:rPr>
      </w:pPr>
    </w:p>
    <w:p w14:paraId="4AD4665C" w14:textId="19781BEC" w:rsidR="00D04768" w:rsidRDefault="00D04768" w:rsidP="00D04768">
      <w:pPr>
        <w:spacing w:after="0"/>
        <w:ind w:left="360"/>
        <w:rPr>
          <w:sz w:val="20"/>
          <w:szCs w:val="20"/>
        </w:rPr>
      </w:pPr>
      <w:r>
        <w:rPr>
          <w:sz w:val="20"/>
          <w:szCs w:val="20"/>
        </w:rPr>
        <w:t>For example, from the Code</w:t>
      </w:r>
      <w:r w:rsidR="00DF2CB6">
        <w:rPr>
          <w:sz w:val="20"/>
          <w:szCs w:val="20"/>
        </w:rPr>
        <w:t xml:space="preserve"> </w:t>
      </w:r>
      <w:r>
        <w:rPr>
          <w:sz w:val="20"/>
          <w:szCs w:val="20"/>
        </w:rPr>
        <w:t>List</w:t>
      </w:r>
      <w:r w:rsidR="00DF2CB6">
        <w:rPr>
          <w:sz w:val="20"/>
          <w:szCs w:val="20"/>
        </w:rPr>
        <w:t xml:space="preserve"> Representation (</w:t>
      </w:r>
      <w:r w:rsidR="00847CA2">
        <w:rPr>
          <w:sz w:val="20"/>
          <w:szCs w:val="20"/>
        </w:rPr>
        <w:t>G</w:t>
      </w:r>
      <w:r w:rsidR="00DF2CB6">
        <w:rPr>
          <w:sz w:val="20"/>
          <w:szCs w:val="20"/>
        </w:rPr>
        <w:t>enericode)</w:t>
      </w:r>
      <w:r>
        <w:rPr>
          <w:sz w:val="20"/>
          <w:szCs w:val="20"/>
        </w:rPr>
        <w:t xml:space="preserve"> specification, the following </w:t>
      </w:r>
      <w:r w:rsidR="00847CA2">
        <w:rPr>
          <w:sz w:val="20"/>
          <w:szCs w:val="20"/>
        </w:rPr>
        <w:t>shows</w:t>
      </w:r>
      <w:r>
        <w:rPr>
          <w:sz w:val="20"/>
          <w:szCs w:val="20"/>
        </w:rPr>
        <w:t xml:space="preserve"> the first few conformance rules:</w:t>
      </w:r>
    </w:p>
    <w:p w14:paraId="132D5BD3" w14:textId="77777777" w:rsidR="00D04768" w:rsidRDefault="00D04768" w:rsidP="00D04768">
      <w:pPr>
        <w:spacing w:after="0"/>
        <w:ind w:left="360"/>
        <w:rPr>
          <w:sz w:val="20"/>
          <w:szCs w:val="20"/>
        </w:rPr>
      </w:pPr>
    </w:p>
    <w:p w14:paraId="3160E769" w14:textId="5FDF71B6" w:rsid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4 Conformance</w:t>
      </w:r>
    </w:p>
    <w:p w14:paraId="1A1A43BD"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6D9A7990" w14:textId="7CA55D5B" w:rsid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4.1 Auxiliary Rules</w:t>
      </w:r>
    </w:p>
    <w:p w14:paraId="6EFB78FF"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5A368205"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An XML instance conforms to the OASIS Code List Representation genericode document model if it does not violate any constraints expressed in the genericode.xsd schema associated with this version of the specification, including auxiliary rules marked as “document” rules.</w:t>
      </w:r>
    </w:p>
    <w:p w14:paraId="7826EBA1"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082A7C53"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An application conforms to the OASIS Code List Representation genericode processing rules if, in addition, it does not violate any of auxiliary rules marked as “application” rules.</w:t>
      </w:r>
    </w:p>
    <w:p w14:paraId="60F020F1"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772C9E81"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4.2 Category: document</w:t>
      </w:r>
    </w:p>
    <w:p w14:paraId="05C9BCB8"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Some of these document-related auxiliary rules can be programmatically tested using ISO/IEC 19757-3 Schematron as described in Appendix D, Testing select document conformance rules (Non-Normative).</w:t>
      </w:r>
    </w:p>
    <w:p w14:paraId="27598A14"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3112F3B0" w14:textId="0BE2D564"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Rule 1 [document:: complexType CodeListDocument]</w:t>
      </w:r>
    </w:p>
    <w:p w14:paraId="3F1B7949"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1C08B0E6" w14:textId="22696A45"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A code list must have at least one key, unless it is a metadata-only definition without a 'SimpleCodeList' element.</w:t>
      </w:r>
    </w:p>
    <w:p w14:paraId="1477370E"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3C87E336" w14:textId="07EA4A2A"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Rule 4 [document:: element CanonicalUri in complexType CodeListRef]</w:t>
      </w:r>
    </w:p>
    <w:p w14:paraId="44246143"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42B42E97" w14:textId="14CD4DCC"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Must be an absolute URI, must not be relative.</w:t>
      </w:r>
    </w:p>
    <w:p w14:paraId="156C3C3D"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744F9A6B" w14:textId="32C3C32C"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Rule 6 [document:: element CanonicalVersionUri in complexType CodeListRef]</w:t>
      </w:r>
    </w:p>
    <w:p w14:paraId="2CE3E5CC"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3DF37E61" w14:textId="3499DEF7"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Must be an absolute URI, must not be relative.</w:t>
      </w:r>
    </w:p>
    <w:p w14:paraId="41441CB7"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6D0E6B46" w14:textId="399835EE"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Rule 19 [document:: attribute Type in complexType Data]</w:t>
      </w:r>
    </w:p>
    <w:p w14:paraId="5D36519E"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07E5F78A" w14:textId="5A3E083A" w:rsidR="00D04768" w:rsidRPr="00D04768" w:rsidRDefault="00E71C19"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r w:rsidR="00D04768" w:rsidRPr="00D04768">
        <w:rPr>
          <w:sz w:val="20"/>
          <w:szCs w:val="20"/>
        </w:rPr>
        <w:t>The datatype ID must not include a namespace prefix.</w:t>
      </w:r>
    </w:p>
    <w:p w14:paraId="1C561425"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p>
    <w:p w14:paraId="2D4F8CF6" w14:textId="77777777" w:rsidR="00D04768" w:rsidRPr="00D04768"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sidRPr="00D04768">
        <w:rPr>
          <w:sz w:val="20"/>
          <w:szCs w:val="20"/>
        </w:rPr>
        <w:t>For the W3C XML Schema datatypes, possible datatype IDs are 'string', 'token', 'boolean', 'decimal', etc.</w:t>
      </w:r>
    </w:p>
    <w:p w14:paraId="3AB0A5E5" w14:textId="5167B8E7" w:rsidR="0087618F" w:rsidRDefault="00D04768" w:rsidP="00E71C19">
      <w:pPr>
        <w:pBdr>
          <w:top w:val="single" w:sz="4" w:space="1" w:color="auto"/>
          <w:left w:val="single" w:sz="4" w:space="4" w:color="auto"/>
          <w:bottom w:val="single" w:sz="4" w:space="1" w:color="auto"/>
          <w:right w:val="single" w:sz="4" w:space="4" w:color="auto"/>
        </w:pBdr>
        <w:spacing w:after="0"/>
        <w:ind w:left="540"/>
        <w:rPr>
          <w:sz w:val="20"/>
          <w:szCs w:val="20"/>
        </w:rPr>
      </w:pPr>
      <w:r>
        <w:rPr>
          <w:sz w:val="20"/>
          <w:szCs w:val="20"/>
        </w:rPr>
        <w:t xml:space="preserve"> </w:t>
      </w:r>
    </w:p>
    <w:p w14:paraId="558D3EAA" w14:textId="77777777" w:rsidR="004E642F" w:rsidRDefault="004E642F" w:rsidP="00322AF1">
      <w:pPr>
        <w:spacing w:after="0"/>
        <w:ind w:left="360"/>
        <w:rPr>
          <w:sz w:val="20"/>
          <w:szCs w:val="20"/>
        </w:rPr>
      </w:pPr>
    </w:p>
    <w:p w14:paraId="227CFA04" w14:textId="25EECF23" w:rsidR="00392637" w:rsidRDefault="00322AF1" w:rsidP="00322AF1">
      <w:pPr>
        <w:spacing w:after="0"/>
        <w:ind w:left="360"/>
        <w:rPr>
          <w:sz w:val="20"/>
          <w:szCs w:val="20"/>
        </w:rPr>
      </w:pPr>
      <w:r>
        <w:rPr>
          <w:sz w:val="20"/>
          <w:szCs w:val="20"/>
        </w:rPr>
        <w:t xml:space="preserve">The Conformance Rules illustrated above for ‘Genericode’ appear to clearly meet the OASIS requirement to provide </w:t>
      </w:r>
      <w:r w:rsidRPr="00392637">
        <w:rPr>
          <w:color w:val="0070C0"/>
          <w:sz w:val="20"/>
          <w:szCs w:val="20"/>
        </w:rPr>
        <w:t>a set of numbered conformance clauses</w:t>
      </w:r>
      <w:r>
        <w:rPr>
          <w:sz w:val="20"/>
          <w:szCs w:val="20"/>
        </w:rPr>
        <w:t xml:space="preserve">. </w:t>
      </w:r>
    </w:p>
    <w:p w14:paraId="3AD89689" w14:textId="2213D6EB" w:rsidR="00322AF1" w:rsidRDefault="00322AF1" w:rsidP="00322AF1">
      <w:pPr>
        <w:spacing w:after="0"/>
        <w:ind w:left="360"/>
        <w:rPr>
          <w:sz w:val="20"/>
          <w:szCs w:val="20"/>
        </w:rPr>
      </w:pPr>
    </w:p>
    <w:p w14:paraId="71A7DAD9" w14:textId="19341721" w:rsidR="00506790" w:rsidRDefault="00322AF1" w:rsidP="00322AF1">
      <w:pPr>
        <w:spacing w:after="0"/>
        <w:ind w:left="360"/>
        <w:rPr>
          <w:sz w:val="20"/>
          <w:szCs w:val="20"/>
        </w:rPr>
      </w:pPr>
      <w:r>
        <w:rPr>
          <w:sz w:val="20"/>
          <w:szCs w:val="20"/>
        </w:rPr>
        <w:t xml:space="preserve">Many other OASIS specifications appear more in line with the approach provided in ECF v4.1. It is not known whether OASIS Admin will ever enforce the requirement to provide a set of numbered conformance clauses </w:t>
      </w:r>
      <w:r w:rsidR="00506790">
        <w:rPr>
          <w:sz w:val="20"/>
          <w:szCs w:val="20"/>
        </w:rPr>
        <w:t xml:space="preserve">such </w:t>
      </w:r>
      <w:r>
        <w:rPr>
          <w:sz w:val="20"/>
          <w:szCs w:val="20"/>
        </w:rPr>
        <w:t>as</w:t>
      </w:r>
      <w:r w:rsidR="00506790">
        <w:rPr>
          <w:sz w:val="20"/>
          <w:szCs w:val="20"/>
        </w:rPr>
        <w:t xml:space="preserve"> provided by</w:t>
      </w:r>
      <w:r>
        <w:rPr>
          <w:sz w:val="20"/>
          <w:szCs w:val="20"/>
        </w:rPr>
        <w:t xml:space="preserve"> Genericode, but such an enumeration </w:t>
      </w:r>
      <w:r w:rsidR="00E71C19">
        <w:rPr>
          <w:sz w:val="20"/>
          <w:szCs w:val="20"/>
        </w:rPr>
        <w:t>may</w:t>
      </w:r>
      <w:r>
        <w:rPr>
          <w:sz w:val="20"/>
          <w:szCs w:val="20"/>
        </w:rPr>
        <w:t xml:space="preserve"> be useful in ECF</w:t>
      </w:r>
      <w:r w:rsidR="00E71C19">
        <w:rPr>
          <w:sz w:val="20"/>
          <w:szCs w:val="20"/>
        </w:rPr>
        <w:t xml:space="preserve">, </w:t>
      </w:r>
      <w:r w:rsidR="00506790">
        <w:rPr>
          <w:sz w:val="20"/>
          <w:szCs w:val="20"/>
        </w:rPr>
        <w:t>for ECF implementers and for interoperability</w:t>
      </w:r>
      <w:r>
        <w:rPr>
          <w:sz w:val="20"/>
          <w:szCs w:val="20"/>
        </w:rPr>
        <w:t xml:space="preserve">. </w:t>
      </w:r>
    </w:p>
    <w:p w14:paraId="0A9EAB31" w14:textId="77777777" w:rsidR="00506790" w:rsidRDefault="00506790" w:rsidP="00322AF1">
      <w:pPr>
        <w:spacing w:after="0"/>
        <w:ind w:left="360"/>
        <w:rPr>
          <w:sz w:val="20"/>
          <w:szCs w:val="20"/>
        </w:rPr>
      </w:pPr>
    </w:p>
    <w:p w14:paraId="034117F1" w14:textId="77777777" w:rsidR="003D11B6" w:rsidRDefault="003D11B6" w:rsidP="00322AF1">
      <w:pPr>
        <w:spacing w:after="0"/>
        <w:ind w:left="360"/>
        <w:rPr>
          <w:sz w:val="20"/>
          <w:szCs w:val="20"/>
        </w:rPr>
      </w:pPr>
      <w:r>
        <w:rPr>
          <w:sz w:val="20"/>
          <w:szCs w:val="20"/>
        </w:rPr>
        <w:t xml:space="preserve">It is probably not best to hold up approval of the ECF v4.1 specification to develop an enumerated conformance requirements list. </w:t>
      </w:r>
      <w:r w:rsidR="00322AF1">
        <w:rPr>
          <w:sz w:val="20"/>
          <w:szCs w:val="20"/>
        </w:rPr>
        <w:t xml:space="preserve">Perhaps this is something that can be added in later document revision. </w:t>
      </w:r>
    </w:p>
    <w:p w14:paraId="7DA13456" w14:textId="77777777" w:rsidR="003D11B6" w:rsidRDefault="003D11B6" w:rsidP="00322AF1">
      <w:pPr>
        <w:spacing w:after="0"/>
        <w:ind w:left="360"/>
        <w:rPr>
          <w:sz w:val="20"/>
          <w:szCs w:val="20"/>
        </w:rPr>
      </w:pPr>
    </w:p>
    <w:p w14:paraId="6E28C458" w14:textId="2594D711" w:rsidR="00322AF1" w:rsidRDefault="00322AF1" w:rsidP="00322AF1">
      <w:pPr>
        <w:spacing w:after="0"/>
        <w:ind w:left="360"/>
        <w:rPr>
          <w:sz w:val="20"/>
          <w:szCs w:val="20"/>
        </w:rPr>
      </w:pPr>
      <w:r>
        <w:rPr>
          <w:sz w:val="20"/>
          <w:szCs w:val="20"/>
        </w:rPr>
        <w:t xml:space="preserve">However, I suspect that </w:t>
      </w:r>
      <w:r w:rsidR="003D11B6">
        <w:rPr>
          <w:sz w:val="20"/>
          <w:szCs w:val="20"/>
        </w:rPr>
        <w:t>any</w:t>
      </w:r>
      <w:r>
        <w:rPr>
          <w:sz w:val="20"/>
          <w:szCs w:val="20"/>
        </w:rPr>
        <w:t xml:space="preserve"> effort to provide such </w:t>
      </w:r>
      <w:r w:rsidR="00506790">
        <w:rPr>
          <w:sz w:val="20"/>
          <w:szCs w:val="20"/>
        </w:rPr>
        <w:t xml:space="preserve">a </w:t>
      </w:r>
      <w:r>
        <w:rPr>
          <w:sz w:val="20"/>
          <w:szCs w:val="20"/>
        </w:rPr>
        <w:t xml:space="preserve">clear, unambiguous conformance enumeration will highlight issues within the specification that may require additional </w:t>
      </w:r>
      <w:r w:rsidR="00506790">
        <w:rPr>
          <w:sz w:val="20"/>
          <w:szCs w:val="20"/>
        </w:rPr>
        <w:t xml:space="preserve">numbered </w:t>
      </w:r>
      <w:r>
        <w:rPr>
          <w:sz w:val="20"/>
          <w:szCs w:val="20"/>
        </w:rPr>
        <w:t>versions to address.</w:t>
      </w:r>
    </w:p>
    <w:p w14:paraId="1B930168" w14:textId="71A9C25A" w:rsidR="00EB0D59" w:rsidRDefault="00EB0D59" w:rsidP="00322AF1">
      <w:pPr>
        <w:spacing w:after="0"/>
        <w:ind w:left="360"/>
        <w:rPr>
          <w:sz w:val="20"/>
          <w:szCs w:val="20"/>
        </w:rPr>
      </w:pPr>
    </w:p>
    <w:p w14:paraId="1891F327" w14:textId="3B30055A" w:rsidR="00EB0D59" w:rsidRDefault="00EB0D59" w:rsidP="00322AF1">
      <w:pPr>
        <w:spacing w:after="0"/>
        <w:ind w:left="360"/>
        <w:rPr>
          <w:sz w:val="20"/>
          <w:szCs w:val="20"/>
        </w:rPr>
      </w:pPr>
      <w:r>
        <w:rPr>
          <w:sz w:val="20"/>
          <w:szCs w:val="20"/>
        </w:rPr>
        <w:t xml:space="preserve">A prior attempt at a requirements enumeration can be accessed from TC email #412822 (12-Feb-2013) using the following link: </w:t>
      </w:r>
      <w:hyperlink r:id="rId8" w:history="1">
        <w:r w:rsidRPr="00C406C9">
          <w:rPr>
            <w:rStyle w:val="Hyperlink"/>
            <w:sz w:val="20"/>
            <w:szCs w:val="20"/>
          </w:rPr>
          <w:t>https://www.oasis-open.org/apps/org/workgroup/legalxml-courtfiling/email/archives/201302/msg00002.html</w:t>
        </w:r>
      </w:hyperlink>
    </w:p>
    <w:p w14:paraId="0C00E352" w14:textId="0516D2F6" w:rsidR="00EB0D59" w:rsidRDefault="00EB0D59" w:rsidP="00322AF1">
      <w:pPr>
        <w:spacing w:after="0"/>
        <w:ind w:left="360"/>
        <w:rPr>
          <w:sz w:val="20"/>
          <w:szCs w:val="20"/>
        </w:rPr>
      </w:pPr>
    </w:p>
    <w:p w14:paraId="57A7CACF" w14:textId="3416F3C7" w:rsidR="00EB0D59" w:rsidRDefault="00EB0D59" w:rsidP="00322AF1">
      <w:pPr>
        <w:spacing w:after="0"/>
        <w:ind w:left="360"/>
        <w:rPr>
          <w:sz w:val="20"/>
          <w:szCs w:val="20"/>
        </w:rPr>
      </w:pPr>
      <w:r>
        <w:rPr>
          <w:sz w:val="20"/>
          <w:szCs w:val="20"/>
        </w:rPr>
        <w:t>This matrix is for ECF 4.01 (or 4.0.1) and follows a different approach than used by Genericode.</w:t>
      </w:r>
    </w:p>
    <w:p w14:paraId="6F92E44B" w14:textId="714D0AA1" w:rsidR="00EB0D59" w:rsidRDefault="00EB0D59" w:rsidP="00322AF1">
      <w:pPr>
        <w:spacing w:after="0"/>
        <w:ind w:left="360"/>
        <w:rPr>
          <w:sz w:val="20"/>
          <w:szCs w:val="20"/>
        </w:rPr>
      </w:pPr>
    </w:p>
    <w:p w14:paraId="339DA638" w14:textId="516A991D" w:rsidR="00EB0D59" w:rsidRDefault="00EB0D59" w:rsidP="00322AF1">
      <w:pPr>
        <w:spacing w:after="0"/>
        <w:ind w:left="360"/>
        <w:rPr>
          <w:sz w:val="20"/>
          <w:szCs w:val="20"/>
        </w:rPr>
      </w:pPr>
      <w:r>
        <w:rPr>
          <w:sz w:val="20"/>
          <w:szCs w:val="20"/>
        </w:rPr>
        <w:t xml:space="preserve">The Springboard project is an additional attempt at identifying and testing for compliance. </w:t>
      </w:r>
      <w:r w:rsidR="00983EC4">
        <w:rPr>
          <w:sz w:val="20"/>
          <w:szCs w:val="20"/>
        </w:rPr>
        <w:t>‘</w:t>
      </w:r>
      <w:r>
        <w:rPr>
          <w:sz w:val="20"/>
          <w:szCs w:val="20"/>
        </w:rPr>
        <w:t>Springboard</w:t>
      </w:r>
      <w:r w:rsidR="00983EC4">
        <w:rPr>
          <w:sz w:val="20"/>
          <w:szCs w:val="20"/>
        </w:rPr>
        <w:t>’</w:t>
      </w:r>
      <w:r>
        <w:rPr>
          <w:sz w:val="20"/>
          <w:szCs w:val="20"/>
        </w:rPr>
        <w:t xml:space="preserve"> include</w:t>
      </w:r>
      <w:r w:rsidR="00983EC4">
        <w:rPr>
          <w:sz w:val="20"/>
          <w:szCs w:val="20"/>
        </w:rPr>
        <w:t>d</w:t>
      </w:r>
      <w:r>
        <w:rPr>
          <w:sz w:val="20"/>
          <w:szCs w:val="20"/>
        </w:rPr>
        <w:t xml:space="preserve"> Web Services SIP compliance along with main specification compliance.</w:t>
      </w:r>
    </w:p>
    <w:p w14:paraId="1C7B6773" w14:textId="77777777" w:rsidR="00506790" w:rsidRDefault="00506790" w:rsidP="00322AF1">
      <w:pPr>
        <w:spacing w:after="0"/>
        <w:ind w:left="360"/>
        <w:rPr>
          <w:sz w:val="20"/>
          <w:szCs w:val="20"/>
        </w:rPr>
      </w:pPr>
    </w:p>
    <w:p w14:paraId="45780B96" w14:textId="77777777" w:rsidR="003D11B6" w:rsidRDefault="003D11B6" w:rsidP="00322AF1">
      <w:pPr>
        <w:spacing w:after="0"/>
        <w:ind w:left="360"/>
        <w:rPr>
          <w:sz w:val="20"/>
          <w:szCs w:val="20"/>
        </w:rPr>
      </w:pPr>
      <w:r>
        <w:rPr>
          <w:sz w:val="20"/>
          <w:szCs w:val="20"/>
        </w:rPr>
        <w:t>The following is a listing of the MUST requirement from the ECF v4.1 specification provided for this Public Review:</w:t>
      </w:r>
    </w:p>
    <w:p w14:paraId="7132306F" w14:textId="6D1B256F" w:rsidR="00322AF1" w:rsidRDefault="003D11B6" w:rsidP="00322AF1">
      <w:pPr>
        <w:spacing w:after="0"/>
        <w:ind w:left="360"/>
        <w:rPr>
          <w:sz w:val="20"/>
          <w:szCs w:val="20"/>
        </w:rPr>
      </w:pPr>
      <w:r>
        <w:rPr>
          <w:sz w:val="20"/>
          <w:szCs w:val="20"/>
        </w:rPr>
        <w:t xml:space="preserve"> </w:t>
      </w:r>
    </w:p>
    <w:tbl>
      <w:tblPr>
        <w:tblStyle w:val="TableGrid"/>
        <w:tblW w:w="0" w:type="auto"/>
        <w:tblInd w:w="360" w:type="dxa"/>
        <w:tblCellMar>
          <w:top w:w="29" w:type="dxa"/>
          <w:bottom w:w="29" w:type="dxa"/>
        </w:tblCellMar>
        <w:tblLook w:val="04A0" w:firstRow="1" w:lastRow="0" w:firstColumn="1" w:lastColumn="0" w:noHBand="0" w:noVBand="1"/>
      </w:tblPr>
      <w:tblGrid>
        <w:gridCol w:w="625"/>
        <w:gridCol w:w="1620"/>
        <w:gridCol w:w="6745"/>
      </w:tblGrid>
      <w:tr w:rsidR="00110C13" w14:paraId="3C6D4041" w14:textId="77777777" w:rsidTr="00110C13">
        <w:tc>
          <w:tcPr>
            <w:tcW w:w="625" w:type="dxa"/>
            <w:shd w:val="clear" w:color="auto" w:fill="E2EFD9" w:themeFill="accent6" w:themeFillTint="33"/>
          </w:tcPr>
          <w:p w14:paraId="46D5A164" w14:textId="14548F97" w:rsidR="00110C13" w:rsidRPr="00110C13" w:rsidRDefault="00110C13" w:rsidP="00322AF1">
            <w:pPr>
              <w:rPr>
                <w:b/>
                <w:bCs/>
                <w:sz w:val="18"/>
                <w:szCs w:val="18"/>
              </w:rPr>
            </w:pPr>
            <w:r w:rsidRPr="00110C13">
              <w:rPr>
                <w:b/>
                <w:bCs/>
                <w:sz w:val="18"/>
                <w:szCs w:val="18"/>
              </w:rPr>
              <w:t>No.</w:t>
            </w:r>
          </w:p>
        </w:tc>
        <w:tc>
          <w:tcPr>
            <w:tcW w:w="1620" w:type="dxa"/>
            <w:shd w:val="clear" w:color="auto" w:fill="E2EFD9" w:themeFill="accent6" w:themeFillTint="33"/>
          </w:tcPr>
          <w:p w14:paraId="0C9D42FC" w14:textId="6FD1387D" w:rsidR="00110C13" w:rsidRPr="00110C13" w:rsidRDefault="00110C13" w:rsidP="00322AF1">
            <w:pPr>
              <w:rPr>
                <w:b/>
                <w:bCs/>
                <w:sz w:val="18"/>
                <w:szCs w:val="18"/>
              </w:rPr>
            </w:pPr>
            <w:r w:rsidRPr="00110C13">
              <w:rPr>
                <w:b/>
                <w:bCs/>
                <w:sz w:val="18"/>
                <w:szCs w:val="18"/>
              </w:rPr>
              <w:t>Section/Line #</w:t>
            </w:r>
          </w:p>
        </w:tc>
        <w:tc>
          <w:tcPr>
            <w:tcW w:w="6745" w:type="dxa"/>
            <w:shd w:val="clear" w:color="auto" w:fill="E2EFD9" w:themeFill="accent6" w:themeFillTint="33"/>
          </w:tcPr>
          <w:p w14:paraId="081F863B" w14:textId="486D7605" w:rsidR="00110C13" w:rsidRPr="00110C13" w:rsidRDefault="00110C13" w:rsidP="00322AF1">
            <w:pPr>
              <w:rPr>
                <w:b/>
                <w:bCs/>
                <w:sz w:val="18"/>
                <w:szCs w:val="18"/>
              </w:rPr>
            </w:pPr>
            <w:r w:rsidRPr="00110C13">
              <w:rPr>
                <w:b/>
                <w:bCs/>
                <w:sz w:val="18"/>
                <w:szCs w:val="18"/>
              </w:rPr>
              <w:t>Requirement</w:t>
            </w:r>
          </w:p>
        </w:tc>
      </w:tr>
      <w:tr w:rsidR="00110C13" w14:paraId="5A97F615" w14:textId="77777777" w:rsidTr="00110C13">
        <w:tc>
          <w:tcPr>
            <w:tcW w:w="625" w:type="dxa"/>
          </w:tcPr>
          <w:p w14:paraId="4646C7A4" w14:textId="4BF7DCA4" w:rsidR="00110C13" w:rsidRPr="00110C13" w:rsidRDefault="00110C13" w:rsidP="00322AF1">
            <w:pPr>
              <w:rPr>
                <w:sz w:val="18"/>
                <w:szCs w:val="18"/>
              </w:rPr>
            </w:pPr>
            <w:r>
              <w:rPr>
                <w:sz w:val="18"/>
                <w:szCs w:val="18"/>
              </w:rPr>
              <w:t>1</w:t>
            </w:r>
          </w:p>
        </w:tc>
        <w:tc>
          <w:tcPr>
            <w:tcW w:w="1620" w:type="dxa"/>
          </w:tcPr>
          <w:p w14:paraId="2465CA1A" w14:textId="47E79C75" w:rsidR="00110C13" w:rsidRPr="00110C13" w:rsidRDefault="00110C13" w:rsidP="00322AF1">
            <w:pPr>
              <w:rPr>
                <w:sz w:val="18"/>
                <w:szCs w:val="18"/>
              </w:rPr>
            </w:pPr>
            <w:r>
              <w:rPr>
                <w:sz w:val="18"/>
                <w:szCs w:val="18"/>
              </w:rPr>
              <w:t>2.1/322</w:t>
            </w:r>
          </w:p>
        </w:tc>
        <w:tc>
          <w:tcPr>
            <w:tcW w:w="6745" w:type="dxa"/>
          </w:tcPr>
          <w:p w14:paraId="70071405" w14:textId="63828C1D" w:rsidR="00110C13" w:rsidRPr="00110C13" w:rsidRDefault="00110C13" w:rsidP="00322AF1">
            <w:pPr>
              <w:rPr>
                <w:sz w:val="18"/>
                <w:szCs w:val="18"/>
              </w:rPr>
            </w:pPr>
            <w:r w:rsidRPr="00110C13">
              <w:rPr>
                <w:sz w:val="18"/>
                <w:szCs w:val="18"/>
              </w:rPr>
              <w:t>In order to be compliant, an implementation of the ECF specification MUST implement the core specification and at least one service interaction profile and one document signature profile.</w:t>
            </w:r>
          </w:p>
        </w:tc>
      </w:tr>
      <w:tr w:rsidR="00110C13" w14:paraId="6D9D6F59" w14:textId="77777777" w:rsidTr="00110C13">
        <w:tc>
          <w:tcPr>
            <w:tcW w:w="625" w:type="dxa"/>
          </w:tcPr>
          <w:p w14:paraId="12C85D9F" w14:textId="5B5E29F7" w:rsidR="00110C13" w:rsidRPr="00110C13" w:rsidRDefault="00110C13" w:rsidP="00322AF1">
            <w:pPr>
              <w:rPr>
                <w:sz w:val="18"/>
                <w:szCs w:val="18"/>
              </w:rPr>
            </w:pPr>
            <w:r>
              <w:rPr>
                <w:sz w:val="18"/>
                <w:szCs w:val="18"/>
              </w:rPr>
              <w:t>2</w:t>
            </w:r>
          </w:p>
        </w:tc>
        <w:tc>
          <w:tcPr>
            <w:tcW w:w="1620" w:type="dxa"/>
          </w:tcPr>
          <w:p w14:paraId="2BBC5602" w14:textId="59CF787D" w:rsidR="00110C13" w:rsidRPr="00110C13" w:rsidRDefault="00110C13" w:rsidP="00322AF1">
            <w:pPr>
              <w:rPr>
                <w:sz w:val="18"/>
                <w:szCs w:val="18"/>
              </w:rPr>
            </w:pPr>
            <w:r>
              <w:rPr>
                <w:sz w:val="18"/>
                <w:szCs w:val="18"/>
              </w:rPr>
              <w:t>2.2/346</w:t>
            </w:r>
          </w:p>
        </w:tc>
        <w:tc>
          <w:tcPr>
            <w:tcW w:w="6745" w:type="dxa"/>
          </w:tcPr>
          <w:p w14:paraId="733C5BDF" w14:textId="422FC466" w:rsidR="00110C13" w:rsidRPr="00110C13" w:rsidRDefault="00110C13" w:rsidP="00322AF1">
            <w:pPr>
              <w:rPr>
                <w:sz w:val="18"/>
                <w:szCs w:val="18"/>
              </w:rPr>
            </w:pPr>
            <w:r w:rsidRPr="00110C13">
              <w:rPr>
                <w:sz w:val="18"/>
                <w:szCs w:val="18"/>
              </w:rPr>
              <w:t>An ECF 4.1-compliant implementation may implement one or more of the MDEs defined in the specification but a complete ECF 4.1 system MUST include at least one each of the Filing Assembly, Filing Review and Court Record MDEs.</w:t>
            </w:r>
          </w:p>
        </w:tc>
      </w:tr>
      <w:tr w:rsidR="00110C13" w14:paraId="3836448B" w14:textId="77777777" w:rsidTr="00110C13">
        <w:tc>
          <w:tcPr>
            <w:tcW w:w="625" w:type="dxa"/>
          </w:tcPr>
          <w:p w14:paraId="4BC5948E" w14:textId="40A432C0" w:rsidR="00110C13" w:rsidRPr="00110C13" w:rsidRDefault="00110C13" w:rsidP="00322AF1">
            <w:pPr>
              <w:rPr>
                <w:sz w:val="18"/>
                <w:szCs w:val="18"/>
              </w:rPr>
            </w:pPr>
            <w:r>
              <w:rPr>
                <w:sz w:val="18"/>
                <w:szCs w:val="18"/>
              </w:rPr>
              <w:lastRenderedPageBreak/>
              <w:t>3</w:t>
            </w:r>
          </w:p>
        </w:tc>
        <w:tc>
          <w:tcPr>
            <w:tcW w:w="1620" w:type="dxa"/>
          </w:tcPr>
          <w:p w14:paraId="75E0E2B9" w14:textId="4B6A3C5C" w:rsidR="00110C13" w:rsidRPr="00110C13" w:rsidRDefault="00110C13" w:rsidP="00322AF1">
            <w:pPr>
              <w:rPr>
                <w:sz w:val="18"/>
                <w:szCs w:val="18"/>
              </w:rPr>
            </w:pPr>
            <w:r>
              <w:rPr>
                <w:sz w:val="18"/>
                <w:szCs w:val="18"/>
              </w:rPr>
              <w:t>2.2/349</w:t>
            </w:r>
          </w:p>
        </w:tc>
        <w:tc>
          <w:tcPr>
            <w:tcW w:w="6745" w:type="dxa"/>
          </w:tcPr>
          <w:p w14:paraId="4F66DCED" w14:textId="2A7E654B" w:rsidR="00110C13" w:rsidRPr="00110C13" w:rsidRDefault="00110C13" w:rsidP="00322AF1">
            <w:pPr>
              <w:rPr>
                <w:sz w:val="18"/>
                <w:szCs w:val="18"/>
              </w:rPr>
            </w:pPr>
            <w:r w:rsidRPr="00110C13">
              <w:rPr>
                <w:sz w:val="18"/>
                <w:szCs w:val="18"/>
              </w:rPr>
              <w:t>When multiple MDEs are implemented by a single court, vendor or application, the application MUST maintain the ECF 4.1 specified operations between each MDE so that other applications will be able to interoperate with it.</w:t>
            </w:r>
          </w:p>
        </w:tc>
      </w:tr>
      <w:tr w:rsidR="00110C13" w14:paraId="3529A912" w14:textId="77777777" w:rsidTr="00110C13">
        <w:tc>
          <w:tcPr>
            <w:tcW w:w="625" w:type="dxa"/>
          </w:tcPr>
          <w:p w14:paraId="14F0572C" w14:textId="44DAD9B3" w:rsidR="00110C13" w:rsidRPr="00110C13" w:rsidRDefault="00110C13" w:rsidP="00322AF1">
            <w:pPr>
              <w:rPr>
                <w:sz w:val="18"/>
                <w:szCs w:val="18"/>
              </w:rPr>
            </w:pPr>
            <w:r>
              <w:rPr>
                <w:sz w:val="18"/>
                <w:szCs w:val="18"/>
              </w:rPr>
              <w:t>4 ?</w:t>
            </w:r>
          </w:p>
        </w:tc>
        <w:tc>
          <w:tcPr>
            <w:tcW w:w="1620" w:type="dxa"/>
          </w:tcPr>
          <w:p w14:paraId="634D022F" w14:textId="3D9A97D0" w:rsidR="00110C13" w:rsidRPr="00110C13" w:rsidRDefault="00110C13" w:rsidP="00322AF1">
            <w:pPr>
              <w:rPr>
                <w:sz w:val="18"/>
                <w:szCs w:val="18"/>
              </w:rPr>
            </w:pPr>
            <w:r>
              <w:rPr>
                <w:sz w:val="18"/>
                <w:szCs w:val="18"/>
              </w:rPr>
              <w:t>2.2/355</w:t>
            </w:r>
          </w:p>
        </w:tc>
        <w:tc>
          <w:tcPr>
            <w:tcW w:w="6745" w:type="dxa"/>
          </w:tcPr>
          <w:p w14:paraId="1C599EB1" w14:textId="4AC914A6" w:rsidR="00110C13" w:rsidRPr="00110C13" w:rsidRDefault="00110C13" w:rsidP="00322AF1">
            <w:pPr>
              <w:rPr>
                <w:sz w:val="18"/>
                <w:szCs w:val="18"/>
              </w:rPr>
            </w:pPr>
            <w:r w:rsidRPr="00110C13">
              <w:rPr>
                <w:sz w:val="18"/>
                <w:szCs w:val="18"/>
              </w:rPr>
              <w:t>In order to be compliant with ECF 4.1, an MDE must support all messages required for that MDE.</w:t>
            </w:r>
          </w:p>
        </w:tc>
      </w:tr>
      <w:tr w:rsidR="00110C13" w14:paraId="00E122EC" w14:textId="77777777" w:rsidTr="00110C13">
        <w:tc>
          <w:tcPr>
            <w:tcW w:w="625" w:type="dxa"/>
          </w:tcPr>
          <w:p w14:paraId="1A47D6EE" w14:textId="172BE278" w:rsidR="00110C13" w:rsidRPr="00110C13" w:rsidRDefault="00BC1259" w:rsidP="00322AF1">
            <w:pPr>
              <w:rPr>
                <w:sz w:val="18"/>
                <w:szCs w:val="18"/>
              </w:rPr>
            </w:pPr>
            <w:r>
              <w:rPr>
                <w:sz w:val="18"/>
                <w:szCs w:val="18"/>
              </w:rPr>
              <w:t>5 &amp; 6</w:t>
            </w:r>
          </w:p>
        </w:tc>
        <w:tc>
          <w:tcPr>
            <w:tcW w:w="1620" w:type="dxa"/>
          </w:tcPr>
          <w:p w14:paraId="510D3590" w14:textId="264AF5F2" w:rsidR="00110C13" w:rsidRPr="00110C13" w:rsidRDefault="00BC1259" w:rsidP="00322AF1">
            <w:pPr>
              <w:rPr>
                <w:sz w:val="18"/>
                <w:szCs w:val="18"/>
              </w:rPr>
            </w:pPr>
            <w:r>
              <w:rPr>
                <w:sz w:val="18"/>
                <w:szCs w:val="18"/>
              </w:rPr>
              <w:t>2.4/457</w:t>
            </w:r>
          </w:p>
        </w:tc>
        <w:tc>
          <w:tcPr>
            <w:tcW w:w="6745" w:type="dxa"/>
          </w:tcPr>
          <w:p w14:paraId="02CCABA2" w14:textId="3AE15D52" w:rsidR="00110C13" w:rsidRPr="00110C13" w:rsidRDefault="00BC1259" w:rsidP="00322AF1">
            <w:pPr>
              <w:rPr>
                <w:sz w:val="18"/>
                <w:szCs w:val="18"/>
              </w:rPr>
            </w:pPr>
            <w:r w:rsidRPr="00BC1259">
              <w:rPr>
                <w:sz w:val="18"/>
                <w:szCs w:val="18"/>
              </w:rPr>
              <w:t xml:space="preserve">The court MUST have only one active, authoritative version of its policies at a given time; both the human-readable and the machine-readable statements of those policies MUST have the same release dates for the court.  </w:t>
            </w:r>
          </w:p>
        </w:tc>
      </w:tr>
      <w:tr w:rsidR="00110C13" w14:paraId="240AB723" w14:textId="77777777" w:rsidTr="00110C13">
        <w:tc>
          <w:tcPr>
            <w:tcW w:w="625" w:type="dxa"/>
          </w:tcPr>
          <w:p w14:paraId="58056CA3" w14:textId="517B9AFE" w:rsidR="00110C13" w:rsidRPr="00110C13" w:rsidRDefault="00BC1259" w:rsidP="00322AF1">
            <w:pPr>
              <w:rPr>
                <w:sz w:val="18"/>
                <w:szCs w:val="18"/>
              </w:rPr>
            </w:pPr>
            <w:r>
              <w:rPr>
                <w:sz w:val="18"/>
                <w:szCs w:val="18"/>
              </w:rPr>
              <w:t>7</w:t>
            </w:r>
          </w:p>
        </w:tc>
        <w:tc>
          <w:tcPr>
            <w:tcW w:w="1620" w:type="dxa"/>
          </w:tcPr>
          <w:p w14:paraId="63257CD4" w14:textId="61393A4B" w:rsidR="00110C13" w:rsidRPr="00110C13" w:rsidRDefault="00BC1259" w:rsidP="00322AF1">
            <w:pPr>
              <w:rPr>
                <w:sz w:val="18"/>
                <w:szCs w:val="18"/>
              </w:rPr>
            </w:pPr>
            <w:r>
              <w:rPr>
                <w:sz w:val="18"/>
                <w:szCs w:val="18"/>
              </w:rPr>
              <w:t>2.4/460</w:t>
            </w:r>
          </w:p>
        </w:tc>
        <w:tc>
          <w:tcPr>
            <w:tcW w:w="6745" w:type="dxa"/>
          </w:tcPr>
          <w:p w14:paraId="3032B306" w14:textId="36AA86CB" w:rsidR="00110C13" w:rsidRPr="00110C13" w:rsidRDefault="00BC1259" w:rsidP="00322AF1">
            <w:pPr>
              <w:rPr>
                <w:sz w:val="18"/>
                <w:szCs w:val="18"/>
              </w:rPr>
            </w:pPr>
            <w:r w:rsidRPr="00BC1259">
              <w:rPr>
                <w:sz w:val="18"/>
                <w:szCs w:val="18"/>
              </w:rPr>
              <w:t xml:space="preserve">The court’s human-readable and machine-readable court policies MUST each have a version numbering method associated with it.  </w:t>
            </w:r>
          </w:p>
        </w:tc>
      </w:tr>
      <w:tr w:rsidR="00110C13" w14:paraId="4121728E" w14:textId="77777777" w:rsidTr="00110C13">
        <w:tc>
          <w:tcPr>
            <w:tcW w:w="625" w:type="dxa"/>
          </w:tcPr>
          <w:p w14:paraId="4A2077E8" w14:textId="388EC62A" w:rsidR="00110C13" w:rsidRPr="00110C13" w:rsidRDefault="00690BC5" w:rsidP="00322AF1">
            <w:pPr>
              <w:rPr>
                <w:sz w:val="18"/>
                <w:szCs w:val="18"/>
              </w:rPr>
            </w:pPr>
            <w:r>
              <w:rPr>
                <w:sz w:val="18"/>
                <w:szCs w:val="18"/>
              </w:rPr>
              <w:t>8</w:t>
            </w:r>
          </w:p>
        </w:tc>
        <w:tc>
          <w:tcPr>
            <w:tcW w:w="1620" w:type="dxa"/>
          </w:tcPr>
          <w:p w14:paraId="5AA4CFFA" w14:textId="55DFDA44" w:rsidR="00110C13" w:rsidRPr="00110C13" w:rsidRDefault="00690BC5" w:rsidP="00322AF1">
            <w:pPr>
              <w:rPr>
                <w:sz w:val="18"/>
                <w:szCs w:val="18"/>
              </w:rPr>
            </w:pPr>
            <w:r>
              <w:rPr>
                <w:sz w:val="18"/>
                <w:szCs w:val="18"/>
              </w:rPr>
              <w:t>2.4.1/476</w:t>
            </w:r>
          </w:p>
        </w:tc>
        <w:tc>
          <w:tcPr>
            <w:tcW w:w="6745" w:type="dxa"/>
          </w:tcPr>
          <w:p w14:paraId="7FCB9BB5" w14:textId="09DFE6BE" w:rsidR="00110C13" w:rsidRPr="00110C13" w:rsidRDefault="00690BC5" w:rsidP="00322AF1">
            <w:pPr>
              <w:rPr>
                <w:sz w:val="18"/>
                <w:szCs w:val="18"/>
              </w:rPr>
            </w:pPr>
            <w:r w:rsidRPr="00690BC5">
              <w:rPr>
                <w:sz w:val="18"/>
                <w:szCs w:val="18"/>
              </w:rPr>
              <w:t>To be compliant with the ECF 4.1 specification, each court MUST publish a human-readable court policy</w:t>
            </w:r>
          </w:p>
        </w:tc>
      </w:tr>
      <w:tr w:rsidR="00690BC5" w14:paraId="763A6114" w14:textId="77777777" w:rsidTr="00110C13">
        <w:tc>
          <w:tcPr>
            <w:tcW w:w="625" w:type="dxa"/>
          </w:tcPr>
          <w:p w14:paraId="05C0FE5F" w14:textId="38AB326E" w:rsidR="00690BC5" w:rsidRDefault="00690BC5" w:rsidP="00322AF1">
            <w:pPr>
              <w:rPr>
                <w:sz w:val="18"/>
                <w:szCs w:val="18"/>
              </w:rPr>
            </w:pPr>
            <w:r>
              <w:rPr>
                <w:sz w:val="18"/>
                <w:szCs w:val="18"/>
              </w:rPr>
              <w:t>9</w:t>
            </w:r>
          </w:p>
        </w:tc>
        <w:tc>
          <w:tcPr>
            <w:tcW w:w="1620" w:type="dxa"/>
          </w:tcPr>
          <w:p w14:paraId="57EB3649" w14:textId="4C803C58" w:rsidR="00690BC5" w:rsidRDefault="00690BC5" w:rsidP="00322AF1">
            <w:pPr>
              <w:rPr>
                <w:sz w:val="18"/>
                <w:szCs w:val="18"/>
              </w:rPr>
            </w:pPr>
            <w:r>
              <w:rPr>
                <w:sz w:val="18"/>
                <w:szCs w:val="18"/>
              </w:rPr>
              <w:t>2.4.1/477</w:t>
            </w:r>
          </w:p>
        </w:tc>
        <w:tc>
          <w:tcPr>
            <w:tcW w:w="6745" w:type="dxa"/>
          </w:tcPr>
          <w:p w14:paraId="5A9963D6" w14:textId="35312698" w:rsidR="00690BC5" w:rsidRPr="00690BC5" w:rsidRDefault="00690BC5" w:rsidP="00690BC5">
            <w:pPr>
              <w:rPr>
                <w:sz w:val="18"/>
                <w:szCs w:val="18"/>
              </w:rPr>
            </w:pPr>
            <w:r w:rsidRPr="00690BC5">
              <w:rPr>
                <w:sz w:val="18"/>
                <w:szCs w:val="18"/>
              </w:rPr>
              <w:t>human-readable court policy MUST include each of the following:</w:t>
            </w:r>
          </w:p>
          <w:p w14:paraId="4997EAF9" w14:textId="25078118" w:rsidR="00690BC5" w:rsidRPr="00690BC5" w:rsidRDefault="00690BC5" w:rsidP="00690BC5">
            <w:pPr>
              <w:rPr>
                <w:sz w:val="18"/>
                <w:szCs w:val="18"/>
              </w:rPr>
            </w:pPr>
            <w:r w:rsidRPr="00690BC5">
              <w:rPr>
                <w:sz w:val="18"/>
                <w:szCs w:val="18"/>
              </w:rPr>
              <w:t>1.</w:t>
            </w:r>
            <w:r>
              <w:rPr>
                <w:sz w:val="18"/>
                <w:szCs w:val="18"/>
              </w:rPr>
              <w:t xml:space="preserve"> </w:t>
            </w:r>
            <w:r w:rsidRPr="00690BC5">
              <w:rPr>
                <w:sz w:val="18"/>
                <w:szCs w:val="18"/>
              </w:rPr>
              <w:t>The unique court identifier</w:t>
            </w:r>
          </w:p>
          <w:p w14:paraId="641E3150" w14:textId="37B3F179" w:rsidR="00690BC5" w:rsidRPr="00690BC5" w:rsidRDefault="00690BC5" w:rsidP="00690BC5">
            <w:pPr>
              <w:rPr>
                <w:sz w:val="18"/>
                <w:szCs w:val="18"/>
              </w:rPr>
            </w:pPr>
            <w:r w:rsidRPr="00690BC5">
              <w:rPr>
                <w:sz w:val="18"/>
                <w:szCs w:val="18"/>
              </w:rPr>
              <w:t>2.</w:t>
            </w:r>
            <w:r>
              <w:rPr>
                <w:sz w:val="18"/>
                <w:szCs w:val="18"/>
              </w:rPr>
              <w:t xml:space="preserve"> </w:t>
            </w:r>
            <w:r w:rsidRPr="00690BC5">
              <w:rPr>
                <w:sz w:val="18"/>
                <w:szCs w:val="18"/>
              </w:rPr>
              <w:t>The location of the machine-readable court policy</w:t>
            </w:r>
          </w:p>
          <w:p w14:paraId="7556C89D" w14:textId="74033ED9" w:rsidR="00690BC5" w:rsidRPr="00690BC5" w:rsidRDefault="00690BC5" w:rsidP="00690BC5">
            <w:pPr>
              <w:rPr>
                <w:sz w:val="18"/>
                <w:szCs w:val="18"/>
              </w:rPr>
            </w:pPr>
            <w:r w:rsidRPr="00690BC5">
              <w:rPr>
                <w:sz w:val="18"/>
                <w:szCs w:val="18"/>
              </w:rPr>
              <w:t>3.</w:t>
            </w:r>
            <w:r>
              <w:rPr>
                <w:sz w:val="18"/>
                <w:szCs w:val="18"/>
              </w:rPr>
              <w:t xml:space="preserve"> </w:t>
            </w:r>
            <w:r w:rsidRPr="00690BC5">
              <w:rPr>
                <w:sz w:val="18"/>
                <w:szCs w:val="18"/>
              </w:rPr>
              <w:t>A definition of what constitutes a “lead document” in the court</w:t>
            </w:r>
          </w:p>
          <w:p w14:paraId="1D5B2739" w14:textId="75519BEF" w:rsidR="00690BC5" w:rsidRPr="00690BC5" w:rsidRDefault="00690BC5" w:rsidP="00690BC5">
            <w:pPr>
              <w:rPr>
                <w:sz w:val="18"/>
                <w:szCs w:val="18"/>
              </w:rPr>
            </w:pPr>
            <w:r w:rsidRPr="00690BC5">
              <w:rPr>
                <w:sz w:val="18"/>
                <w:szCs w:val="18"/>
              </w:rPr>
              <w:t>4.</w:t>
            </w:r>
            <w:r>
              <w:rPr>
                <w:sz w:val="18"/>
                <w:szCs w:val="18"/>
              </w:rPr>
              <w:t xml:space="preserve"> </w:t>
            </w:r>
            <w:r w:rsidRPr="00690BC5">
              <w:rPr>
                <w:sz w:val="18"/>
                <w:szCs w:val="18"/>
              </w:rPr>
              <w:t>A description of how filer identifiers are to be maintained during electronic communications regarding the case</w:t>
            </w:r>
          </w:p>
          <w:p w14:paraId="4CFC76AB" w14:textId="3A37F666" w:rsidR="00690BC5" w:rsidRPr="00690BC5" w:rsidRDefault="00690BC5" w:rsidP="00690BC5">
            <w:pPr>
              <w:rPr>
                <w:sz w:val="18"/>
                <w:szCs w:val="18"/>
              </w:rPr>
            </w:pPr>
            <w:r w:rsidRPr="00690BC5">
              <w:rPr>
                <w:sz w:val="18"/>
                <w:szCs w:val="18"/>
              </w:rPr>
              <w:t>5.</w:t>
            </w:r>
            <w:r>
              <w:rPr>
                <w:sz w:val="18"/>
                <w:szCs w:val="18"/>
              </w:rPr>
              <w:t xml:space="preserve"> </w:t>
            </w:r>
            <w:r w:rsidRPr="00690BC5">
              <w:rPr>
                <w:sz w:val="18"/>
                <w:szCs w:val="18"/>
              </w:rPr>
              <w:t>A description of how the court processes (dockets) filings</w:t>
            </w:r>
          </w:p>
          <w:p w14:paraId="0C616A79" w14:textId="3271BDD2" w:rsidR="00690BC5" w:rsidRPr="00690BC5" w:rsidRDefault="00690BC5" w:rsidP="00690BC5">
            <w:pPr>
              <w:rPr>
                <w:sz w:val="18"/>
                <w:szCs w:val="18"/>
              </w:rPr>
            </w:pPr>
            <w:r w:rsidRPr="00690BC5">
              <w:rPr>
                <w:sz w:val="18"/>
                <w:szCs w:val="18"/>
              </w:rPr>
              <w:t>6.</w:t>
            </w:r>
            <w:r>
              <w:rPr>
                <w:sz w:val="18"/>
                <w:szCs w:val="18"/>
              </w:rPr>
              <w:t xml:space="preserve"> </w:t>
            </w:r>
            <w:r w:rsidRPr="00690BC5">
              <w:rPr>
                <w:sz w:val="18"/>
                <w:szCs w:val="18"/>
              </w:rPr>
              <w:t>A description of any instances in which the court will mandate an element that the ECF 4.1 schema makes optional</w:t>
            </w:r>
          </w:p>
          <w:p w14:paraId="103E4A19" w14:textId="2405DFFC" w:rsidR="00690BC5" w:rsidRPr="00690BC5" w:rsidRDefault="00690BC5" w:rsidP="00690BC5">
            <w:pPr>
              <w:rPr>
                <w:sz w:val="18"/>
                <w:szCs w:val="18"/>
              </w:rPr>
            </w:pPr>
            <w:r w:rsidRPr="00690BC5">
              <w:rPr>
                <w:sz w:val="18"/>
                <w:szCs w:val="18"/>
              </w:rPr>
              <w:t>7.</w:t>
            </w:r>
            <w:r>
              <w:rPr>
                <w:sz w:val="18"/>
                <w:szCs w:val="18"/>
              </w:rPr>
              <w:t xml:space="preserve"> </w:t>
            </w:r>
            <w:r w:rsidRPr="00690BC5">
              <w:rPr>
                <w:sz w:val="18"/>
                <w:szCs w:val="18"/>
              </w:rPr>
              <w:t>A description of any restrictions to data property values other than code list restrictions.  (This restriction may be removed in later versions of the ECF specification)</w:t>
            </w:r>
          </w:p>
          <w:p w14:paraId="758E7C10" w14:textId="7999A65B" w:rsidR="00690BC5" w:rsidRPr="00690BC5" w:rsidRDefault="00690BC5" w:rsidP="00690BC5">
            <w:pPr>
              <w:rPr>
                <w:sz w:val="18"/>
                <w:szCs w:val="18"/>
              </w:rPr>
            </w:pPr>
            <w:r w:rsidRPr="00690BC5">
              <w:rPr>
                <w:sz w:val="18"/>
                <w:szCs w:val="18"/>
              </w:rPr>
              <w:t>8.</w:t>
            </w:r>
            <w:r>
              <w:rPr>
                <w:sz w:val="18"/>
                <w:szCs w:val="18"/>
              </w:rPr>
              <w:t xml:space="preserve"> </w:t>
            </w:r>
            <w:r w:rsidRPr="00690BC5">
              <w:rPr>
                <w:sz w:val="18"/>
                <w:szCs w:val="18"/>
              </w:rPr>
              <w:t>Any other rules required for electronic filing in the court</w:t>
            </w:r>
          </w:p>
        </w:tc>
      </w:tr>
      <w:tr w:rsidR="004635B7" w14:paraId="61C145AE" w14:textId="77777777" w:rsidTr="00110C13">
        <w:tc>
          <w:tcPr>
            <w:tcW w:w="625" w:type="dxa"/>
          </w:tcPr>
          <w:p w14:paraId="1E04DB7C" w14:textId="2E2786D5" w:rsidR="004635B7" w:rsidRDefault="004635B7" w:rsidP="00322AF1">
            <w:pPr>
              <w:rPr>
                <w:sz w:val="18"/>
                <w:szCs w:val="18"/>
              </w:rPr>
            </w:pPr>
            <w:r>
              <w:rPr>
                <w:sz w:val="18"/>
                <w:szCs w:val="18"/>
              </w:rPr>
              <w:t>10</w:t>
            </w:r>
          </w:p>
        </w:tc>
        <w:tc>
          <w:tcPr>
            <w:tcW w:w="1620" w:type="dxa"/>
          </w:tcPr>
          <w:p w14:paraId="3B64DDF8" w14:textId="21AA094E" w:rsidR="004635B7" w:rsidRDefault="004635B7" w:rsidP="00322AF1">
            <w:pPr>
              <w:rPr>
                <w:sz w:val="18"/>
                <w:szCs w:val="18"/>
              </w:rPr>
            </w:pPr>
            <w:r>
              <w:rPr>
                <w:sz w:val="18"/>
                <w:szCs w:val="18"/>
              </w:rPr>
              <w:t>2.4.2/506</w:t>
            </w:r>
          </w:p>
        </w:tc>
        <w:tc>
          <w:tcPr>
            <w:tcW w:w="6745" w:type="dxa"/>
          </w:tcPr>
          <w:p w14:paraId="27A4363B" w14:textId="700A608C" w:rsidR="004635B7" w:rsidRPr="00690BC5" w:rsidRDefault="004635B7" w:rsidP="00690BC5">
            <w:pPr>
              <w:rPr>
                <w:sz w:val="18"/>
                <w:szCs w:val="18"/>
              </w:rPr>
            </w:pPr>
            <w:r w:rsidRPr="004635B7">
              <w:rPr>
                <w:sz w:val="18"/>
                <w:szCs w:val="18"/>
              </w:rPr>
              <w:t>The machine readable court policy MUST be provided to the Filing Assembly MDE either by the Filing Review MDE through the GetCourtPolicy query or some other means.</w:t>
            </w:r>
          </w:p>
        </w:tc>
      </w:tr>
      <w:tr w:rsidR="004635B7" w14:paraId="04611817" w14:textId="77777777" w:rsidTr="00110C13">
        <w:tc>
          <w:tcPr>
            <w:tcW w:w="625" w:type="dxa"/>
          </w:tcPr>
          <w:p w14:paraId="00355AED" w14:textId="5BE96CA5" w:rsidR="004635B7" w:rsidRDefault="004635B7" w:rsidP="00322AF1">
            <w:pPr>
              <w:rPr>
                <w:sz w:val="18"/>
                <w:szCs w:val="18"/>
              </w:rPr>
            </w:pPr>
            <w:r>
              <w:rPr>
                <w:sz w:val="18"/>
                <w:szCs w:val="18"/>
              </w:rPr>
              <w:t>11</w:t>
            </w:r>
          </w:p>
        </w:tc>
        <w:tc>
          <w:tcPr>
            <w:tcW w:w="1620" w:type="dxa"/>
          </w:tcPr>
          <w:p w14:paraId="19EDF231" w14:textId="02443E92" w:rsidR="004635B7" w:rsidRDefault="004635B7" w:rsidP="00322AF1">
            <w:pPr>
              <w:rPr>
                <w:sz w:val="18"/>
                <w:szCs w:val="18"/>
              </w:rPr>
            </w:pPr>
            <w:r>
              <w:rPr>
                <w:sz w:val="18"/>
                <w:szCs w:val="18"/>
              </w:rPr>
              <w:t>2.4.5/577</w:t>
            </w:r>
          </w:p>
        </w:tc>
        <w:tc>
          <w:tcPr>
            <w:tcW w:w="6745" w:type="dxa"/>
          </w:tcPr>
          <w:p w14:paraId="58710F34" w14:textId="7EC6B320" w:rsidR="004635B7" w:rsidRPr="00753ADA" w:rsidRDefault="004635B7" w:rsidP="00690BC5">
            <w:pPr>
              <w:rPr>
                <w:sz w:val="18"/>
                <w:szCs w:val="18"/>
              </w:rPr>
            </w:pPr>
            <w:r w:rsidRPr="00753ADA">
              <w:rPr>
                <w:sz w:val="18"/>
                <w:szCs w:val="18"/>
              </w:rPr>
              <w:t>If court-specific constraint schemas are used, instance documents MUST validate against both the ECF schemas and the court constraint schemas.</w:t>
            </w:r>
          </w:p>
        </w:tc>
      </w:tr>
      <w:tr w:rsidR="003D7D87" w14:paraId="18081B5B" w14:textId="77777777" w:rsidTr="00110C13">
        <w:tc>
          <w:tcPr>
            <w:tcW w:w="625" w:type="dxa"/>
          </w:tcPr>
          <w:p w14:paraId="62B89376" w14:textId="5B5B4F19" w:rsidR="003D7D87" w:rsidRDefault="003D7D87" w:rsidP="00322AF1">
            <w:pPr>
              <w:rPr>
                <w:sz w:val="18"/>
                <w:szCs w:val="18"/>
              </w:rPr>
            </w:pPr>
            <w:r>
              <w:rPr>
                <w:sz w:val="18"/>
                <w:szCs w:val="18"/>
              </w:rPr>
              <w:t>12</w:t>
            </w:r>
          </w:p>
        </w:tc>
        <w:tc>
          <w:tcPr>
            <w:tcW w:w="1620" w:type="dxa"/>
          </w:tcPr>
          <w:p w14:paraId="5DFE0429" w14:textId="6A78F711" w:rsidR="003D7D87" w:rsidRDefault="003D7D87" w:rsidP="00322AF1">
            <w:pPr>
              <w:rPr>
                <w:sz w:val="18"/>
                <w:szCs w:val="18"/>
              </w:rPr>
            </w:pPr>
            <w:r>
              <w:rPr>
                <w:sz w:val="18"/>
                <w:szCs w:val="18"/>
              </w:rPr>
              <w:t>3.1/586</w:t>
            </w:r>
          </w:p>
        </w:tc>
        <w:tc>
          <w:tcPr>
            <w:tcW w:w="6745" w:type="dxa"/>
          </w:tcPr>
          <w:p w14:paraId="74F28C95" w14:textId="04EEF0DE" w:rsidR="003D7D87" w:rsidRPr="004635B7" w:rsidRDefault="003D7D87" w:rsidP="00690BC5">
            <w:pPr>
              <w:rPr>
                <w:sz w:val="18"/>
                <w:szCs w:val="18"/>
              </w:rPr>
            </w:pPr>
            <w:r w:rsidRPr="002637F6">
              <w:rPr>
                <w:sz w:val="18"/>
                <w:szCs w:val="18"/>
              </w:rPr>
              <w:t>The operations in bold are required and MUST occur in every successful filing as long as sending and receiving MDEs are implemented in separate systems.</w:t>
            </w:r>
            <w:r w:rsidRPr="003D7D87">
              <w:rPr>
                <w:sz w:val="18"/>
                <w:szCs w:val="18"/>
              </w:rPr>
              <w:t xml:space="preserve">  </w:t>
            </w:r>
          </w:p>
        </w:tc>
      </w:tr>
      <w:tr w:rsidR="003D7D87" w14:paraId="29E89FC2" w14:textId="77777777" w:rsidTr="00110C13">
        <w:tc>
          <w:tcPr>
            <w:tcW w:w="625" w:type="dxa"/>
          </w:tcPr>
          <w:p w14:paraId="51123A79" w14:textId="32D0F5F5" w:rsidR="003D7D87" w:rsidRDefault="003D7D87" w:rsidP="00322AF1">
            <w:pPr>
              <w:rPr>
                <w:sz w:val="18"/>
                <w:szCs w:val="18"/>
              </w:rPr>
            </w:pPr>
            <w:r>
              <w:rPr>
                <w:sz w:val="18"/>
                <w:szCs w:val="18"/>
              </w:rPr>
              <w:t>13</w:t>
            </w:r>
          </w:p>
        </w:tc>
        <w:tc>
          <w:tcPr>
            <w:tcW w:w="1620" w:type="dxa"/>
          </w:tcPr>
          <w:p w14:paraId="435A18F6" w14:textId="294B25E8" w:rsidR="003D7D87" w:rsidRDefault="003D7D87" w:rsidP="00322AF1">
            <w:pPr>
              <w:rPr>
                <w:sz w:val="18"/>
                <w:szCs w:val="18"/>
              </w:rPr>
            </w:pPr>
            <w:r>
              <w:rPr>
                <w:sz w:val="18"/>
                <w:szCs w:val="18"/>
              </w:rPr>
              <w:t>3.2/616</w:t>
            </w:r>
          </w:p>
        </w:tc>
        <w:tc>
          <w:tcPr>
            <w:tcW w:w="6745" w:type="dxa"/>
          </w:tcPr>
          <w:p w14:paraId="727C6982" w14:textId="0397C057" w:rsidR="003D7D87" w:rsidRPr="003D7D87" w:rsidRDefault="003D7D87" w:rsidP="00690BC5">
            <w:pPr>
              <w:rPr>
                <w:sz w:val="18"/>
                <w:szCs w:val="18"/>
                <w:highlight w:val="yellow"/>
              </w:rPr>
            </w:pPr>
            <w:r w:rsidRPr="003D7D87">
              <w:rPr>
                <w:sz w:val="18"/>
                <w:szCs w:val="18"/>
              </w:rPr>
              <w:t xml:space="preserve">Successful queries MUST return an &lt;ecf:ErrorCode&gt; of “0”.  </w:t>
            </w:r>
          </w:p>
        </w:tc>
      </w:tr>
      <w:tr w:rsidR="003D7D87" w14:paraId="3A59AE3F" w14:textId="77777777" w:rsidTr="00110C13">
        <w:tc>
          <w:tcPr>
            <w:tcW w:w="625" w:type="dxa"/>
          </w:tcPr>
          <w:p w14:paraId="464F34DD" w14:textId="16D5AB80" w:rsidR="003D7D87" w:rsidRDefault="003D7D87" w:rsidP="00322AF1">
            <w:pPr>
              <w:rPr>
                <w:sz w:val="18"/>
                <w:szCs w:val="18"/>
              </w:rPr>
            </w:pPr>
            <w:r>
              <w:rPr>
                <w:sz w:val="18"/>
                <w:szCs w:val="18"/>
              </w:rPr>
              <w:t>14</w:t>
            </w:r>
          </w:p>
        </w:tc>
        <w:tc>
          <w:tcPr>
            <w:tcW w:w="1620" w:type="dxa"/>
          </w:tcPr>
          <w:p w14:paraId="67ABD3BB" w14:textId="2C367071" w:rsidR="003D7D87" w:rsidRDefault="003D7D87" w:rsidP="00322AF1">
            <w:pPr>
              <w:rPr>
                <w:sz w:val="18"/>
                <w:szCs w:val="18"/>
              </w:rPr>
            </w:pPr>
            <w:r>
              <w:rPr>
                <w:sz w:val="18"/>
                <w:szCs w:val="18"/>
              </w:rPr>
              <w:t>3.2/616</w:t>
            </w:r>
          </w:p>
        </w:tc>
        <w:tc>
          <w:tcPr>
            <w:tcW w:w="6745" w:type="dxa"/>
          </w:tcPr>
          <w:p w14:paraId="45E697C8" w14:textId="76F24133" w:rsidR="003D7D87" w:rsidRPr="003D7D87" w:rsidRDefault="003D7D87" w:rsidP="00690BC5">
            <w:pPr>
              <w:rPr>
                <w:sz w:val="18"/>
                <w:szCs w:val="18"/>
              </w:rPr>
            </w:pPr>
            <w:r w:rsidRPr="003D7D87">
              <w:rPr>
                <w:sz w:val="18"/>
                <w:szCs w:val="18"/>
              </w:rPr>
              <w:t>Failed queries MUST NOT return an &lt;ecf:ErrorCode&gt; of “0”</w:t>
            </w:r>
          </w:p>
        </w:tc>
      </w:tr>
      <w:tr w:rsidR="003D7D87" w14:paraId="43A3857E" w14:textId="77777777" w:rsidTr="00110C13">
        <w:tc>
          <w:tcPr>
            <w:tcW w:w="625" w:type="dxa"/>
          </w:tcPr>
          <w:p w14:paraId="71BF421F" w14:textId="37F997A0" w:rsidR="003D7D87" w:rsidRDefault="003D7D87" w:rsidP="00322AF1">
            <w:pPr>
              <w:rPr>
                <w:sz w:val="18"/>
                <w:szCs w:val="18"/>
              </w:rPr>
            </w:pPr>
            <w:r>
              <w:rPr>
                <w:sz w:val="18"/>
                <w:szCs w:val="18"/>
              </w:rPr>
              <w:t>15</w:t>
            </w:r>
          </w:p>
        </w:tc>
        <w:tc>
          <w:tcPr>
            <w:tcW w:w="1620" w:type="dxa"/>
          </w:tcPr>
          <w:p w14:paraId="51589E90" w14:textId="7EEA0405" w:rsidR="003D7D87" w:rsidRDefault="003D7D87" w:rsidP="00322AF1">
            <w:pPr>
              <w:rPr>
                <w:sz w:val="18"/>
                <w:szCs w:val="18"/>
              </w:rPr>
            </w:pPr>
            <w:r>
              <w:rPr>
                <w:sz w:val="18"/>
                <w:szCs w:val="18"/>
              </w:rPr>
              <w:t>3.2.2/630</w:t>
            </w:r>
          </w:p>
        </w:tc>
        <w:tc>
          <w:tcPr>
            <w:tcW w:w="6745" w:type="dxa"/>
          </w:tcPr>
          <w:p w14:paraId="4FC7EB87" w14:textId="55A60B0A" w:rsidR="003D7D87" w:rsidRPr="003D7D87" w:rsidRDefault="003D7D87" w:rsidP="00690BC5">
            <w:pPr>
              <w:rPr>
                <w:sz w:val="18"/>
                <w:szCs w:val="18"/>
              </w:rPr>
            </w:pPr>
            <w:r w:rsidRPr="003D7D87">
              <w:rPr>
                <w:sz w:val="18"/>
                <w:szCs w:val="18"/>
              </w:rPr>
              <w:t>the Court Record MDE MUST have access to the court’s registry with all updated information about case participants.</w:t>
            </w:r>
          </w:p>
        </w:tc>
      </w:tr>
      <w:tr w:rsidR="003D7D87" w14:paraId="0BA9F037" w14:textId="77777777" w:rsidTr="00110C13">
        <w:tc>
          <w:tcPr>
            <w:tcW w:w="625" w:type="dxa"/>
          </w:tcPr>
          <w:p w14:paraId="0350DF6D" w14:textId="3AAD67BB" w:rsidR="003D7D87" w:rsidRDefault="003D7D87" w:rsidP="00322AF1">
            <w:pPr>
              <w:rPr>
                <w:sz w:val="18"/>
                <w:szCs w:val="18"/>
              </w:rPr>
            </w:pPr>
            <w:r>
              <w:rPr>
                <w:sz w:val="18"/>
                <w:szCs w:val="18"/>
              </w:rPr>
              <w:t>16</w:t>
            </w:r>
          </w:p>
        </w:tc>
        <w:tc>
          <w:tcPr>
            <w:tcW w:w="1620" w:type="dxa"/>
          </w:tcPr>
          <w:p w14:paraId="50981D9B" w14:textId="51EDC2B0" w:rsidR="003D7D87" w:rsidRDefault="003D7D87" w:rsidP="00322AF1">
            <w:pPr>
              <w:rPr>
                <w:sz w:val="18"/>
                <w:szCs w:val="18"/>
              </w:rPr>
            </w:pPr>
            <w:r>
              <w:rPr>
                <w:sz w:val="18"/>
                <w:szCs w:val="18"/>
              </w:rPr>
              <w:t>3.2.2631</w:t>
            </w:r>
          </w:p>
        </w:tc>
        <w:tc>
          <w:tcPr>
            <w:tcW w:w="6745" w:type="dxa"/>
          </w:tcPr>
          <w:p w14:paraId="76B4A850" w14:textId="36EE6682" w:rsidR="003D7D87" w:rsidRPr="003D7D87" w:rsidRDefault="003D7D87" w:rsidP="00690BC5">
            <w:pPr>
              <w:rPr>
                <w:sz w:val="18"/>
                <w:szCs w:val="18"/>
              </w:rPr>
            </w:pPr>
            <w:r w:rsidRPr="003D7D87">
              <w:rPr>
                <w:sz w:val="18"/>
                <w:szCs w:val="18"/>
              </w:rPr>
              <w:t>There MUST be only one such registry per court,</w:t>
            </w:r>
          </w:p>
        </w:tc>
      </w:tr>
      <w:tr w:rsidR="003D7D87" w14:paraId="44A982C2" w14:textId="77777777" w:rsidTr="00110C13">
        <w:tc>
          <w:tcPr>
            <w:tcW w:w="625" w:type="dxa"/>
          </w:tcPr>
          <w:p w14:paraId="1F50ABAC" w14:textId="4C0D747E" w:rsidR="003D7D87" w:rsidRDefault="00D14A42" w:rsidP="00322AF1">
            <w:pPr>
              <w:rPr>
                <w:sz w:val="18"/>
                <w:szCs w:val="18"/>
              </w:rPr>
            </w:pPr>
            <w:r>
              <w:rPr>
                <w:sz w:val="18"/>
                <w:szCs w:val="18"/>
              </w:rPr>
              <w:t>17</w:t>
            </w:r>
          </w:p>
        </w:tc>
        <w:tc>
          <w:tcPr>
            <w:tcW w:w="1620" w:type="dxa"/>
          </w:tcPr>
          <w:p w14:paraId="74D6B7FA" w14:textId="658D024A" w:rsidR="003D7D87" w:rsidRDefault="00D14A42" w:rsidP="00322AF1">
            <w:pPr>
              <w:rPr>
                <w:sz w:val="18"/>
                <w:szCs w:val="18"/>
              </w:rPr>
            </w:pPr>
            <w:r>
              <w:rPr>
                <w:sz w:val="18"/>
                <w:szCs w:val="18"/>
              </w:rPr>
              <w:t>3.2.2/635</w:t>
            </w:r>
          </w:p>
        </w:tc>
        <w:tc>
          <w:tcPr>
            <w:tcW w:w="6745" w:type="dxa"/>
          </w:tcPr>
          <w:p w14:paraId="6C5CF17F" w14:textId="68C3E56C" w:rsidR="003D7D87" w:rsidRPr="003D7D87" w:rsidRDefault="00D14A42" w:rsidP="00690BC5">
            <w:pPr>
              <w:rPr>
                <w:sz w:val="18"/>
                <w:szCs w:val="18"/>
              </w:rPr>
            </w:pPr>
            <w:r w:rsidRPr="00D14A42">
              <w:rPr>
                <w:sz w:val="18"/>
                <w:szCs w:val="18"/>
              </w:rPr>
              <w:t>If the court provides a Hub Service MDE, the electronic service information returned from this query MUST include the court’s Service MDE ID for all case participants who have one.</w:t>
            </w:r>
          </w:p>
        </w:tc>
      </w:tr>
      <w:tr w:rsidR="00D14A42" w14:paraId="7848530E" w14:textId="77777777" w:rsidTr="00110C13">
        <w:tc>
          <w:tcPr>
            <w:tcW w:w="625" w:type="dxa"/>
          </w:tcPr>
          <w:p w14:paraId="4F2E739D" w14:textId="0D7AC87B" w:rsidR="00D14A42" w:rsidRDefault="00D14A42" w:rsidP="00322AF1">
            <w:pPr>
              <w:rPr>
                <w:sz w:val="18"/>
                <w:szCs w:val="18"/>
              </w:rPr>
            </w:pPr>
            <w:r>
              <w:rPr>
                <w:sz w:val="18"/>
                <w:szCs w:val="18"/>
              </w:rPr>
              <w:t>18.</w:t>
            </w:r>
          </w:p>
        </w:tc>
        <w:tc>
          <w:tcPr>
            <w:tcW w:w="1620" w:type="dxa"/>
          </w:tcPr>
          <w:p w14:paraId="44161D62" w14:textId="0D6832D2" w:rsidR="00D14A42" w:rsidRDefault="00D14A42" w:rsidP="00322AF1">
            <w:pPr>
              <w:rPr>
                <w:sz w:val="18"/>
                <w:szCs w:val="18"/>
              </w:rPr>
            </w:pPr>
            <w:r>
              <w:rPr>
                <w:sz w:val="18"/>
                <w:szCs w:val="18"/>
              </w:rPr>
              <w:t>3.2.4/650</w:t>
            </w:r>
          </w:p>
        </w:tc>
        <w:tc>
          <w:tcPr>
            <w:tcW w:w="6745" w:type="dxa"/>
          </w:tcPr>
          <w:p w14:paraId="1F722028" w14:textId="37FBCF29" w:rsidR="00D14A42" w:rsidRPr="00D14A42" w:rsidRDefault="00D14A42" w:rsidP="00690BC5">
            <w:pPr>
              <w:rPr>
                <w:sz w:val="18"/>
                <w:szCs w:val="18"/>
              </w:rPr>
            </w:pPr>
            <w:r w:rsidRPr="00D14A42">
              <w:rPr>
                <w:sz w:val="18"/>
                <w:szCs w:val="18"/>
              </w:rPr>
              <w:t>The Filing Assembly MDE MUST submit the filing to the court by invoking the ReviewFiling operation on the Filing Review MDE.</w:t>
            </w:r>
          </w:p>
        </w:tc>
      </w:tr>
      <w:tr w:rsidR="00D14A42" w14:paraId="4BC96DDC" w14:textId="77777777" w:rsidTr="00110C13">
        <w:tc>
          <w:tcPr>
            <w:tcW w:w="625" w:type="dxa"/>
          </w:tcPr>
          <w:p w14:paraId="45A542F4" w14:textId="6AF07CD1" w:rsidR="00D14A42" w:rsidRDefault="00D14A42" w:rsidP="00322AF1">
            <w:pPr>
              <w:rPr>
                <w:sz w:val="18"/>
                <w:szCs w:val="18"/>
              </w:rPr>
            </w:pPr>
            <w:r>
              <w:rPr>
                <w:sz w:val="18"/>
                <w:szCs w:val="18"/>
              </w:rPr>
              <w:t xml:space="preserve">19. </w:t>
            </w:r>
          </w:p>
        </w:tc>
        <w:tc>
          <w:tcPr>
            <w:tcW w:w="1620" w:type="dxa"/>
          </w:tcPr>
          <w:p w14:paraId="700672A3" w14:textId="1B0B7A16" w:rsidR="00D14A42" w:rsidRDefault="00D14A42" w:rsidP="00322AF1">
            <w:pPr>
              <w:rPr>
                <w:sz w:val="18"/>
                <w:szCs w:val="18"/>
              </w:rPr>
            </w:pPr>
            <w:r>
              <w:rPr>
                <w:sz w:val="18"/>
                <w:szCs w:val="18"/>
              </w:rPr>
              <w:t>3.2.5/657</w:t>
            </w:r>
          </w:p>
        </w:tc>
        <w:tc>
          <w:tcPr>
            <w:tcW w:w="6745" w:type="dxa"/>
          </w:tcPr>
          <w:p w14:paraId="4268DBEA" w14:textId="55D590B0" w:rsidR="00D14A42" w:rsidRPr="00D14A42" w:rsidRDefault="00D14A42" w:rsidP="00690BC5">
            <w:pPr>
              <w:rPr>
                <w:sz w:val="18"/>
                <w:szCs w:val="18"/>
              </w:rPr>
            </w:pPr>
            <w:r w:rsidRPr="00D14A42">
              <w:rPr>
                <w:sz w:val="18"/>
                <w:szCs w:val="18"/>
              </w:rPr>
              <w:t xml:space="preserve">This operation </w:t>
            </w:r>
            <w:r>
              <w:rPr>
                <w:sz w:val="18"/>
                <w:szCs w:val="18"/>
              </w:rPr>
              <w:t xml:space="preserve">(i.e., ServeFiling) </w:t>
            </w:r>
            <w:r w:rsidRPr="00D14A42">
              <w:rPr>
                <w:sz w:val="18"/>
                <w:szCs w:val="18"/>
              </w:rPr>
              <w:t xml:space="preserve">MUST NOT be used to serve parties in a new case or to persons or organizations that have not yet been made party to the case.  </w:t>
            </w:r>
          </w:p>
        </w:tc>
      </w:tr>
      <w:tr w:rsidR="00D14A42" w14:paraId="37071442" w14:textId="77777777" w:rsidTr="00110C13">
        <w:tc>
          <w:tcPr>
            <w:tcW w:w="625" w:type="dxa"/>
          </w:tcPr>
          <w:p w14:paraId="341D6ED9" w14:textId="519FD964" w:rsidR="00D14A42" w:rsidRDefault="00C914EF" w:rsidP="00322AF1">
            <w:pPr>
              <w:rPr>
                <w:sz w:val="18"/>
                <w:szCs w:val="18"/>
              </w:rPr>
            </w:pPr>
            <w:r>
              <w:rPr>
                <w:sz w:val="18"/>
                <w:szCs w:val="18"/>
              </w:rPr>
              <w:t>20.</w:t>
            </w:r>
          </w:p>
        </w:tc>
        <w:tc>
          <w:tcPr>
            <w:tcW w:w="1620" w:type="dxa"/>
          </w:tcPr>
          <w:p w14:paraId="683246BB" w14:textId="64E8C460" w:rsidR="00D14A42" w:rsidRDefault="00C914EF" w:rsidP="00322AF1">
            <w:pPr>
              <w:rPr>
                <w:sz w:val="18"/>
                <w:szCs w:val="18"/>
              </w:rPr>
            </w:pPr>
            <w:r>
              <w:rPr>
                <w:sz w:val="18"/>
                <w:szCs w:val="18"/>
              </w:rPr>
              <w:t>3.2.5/662</w:t>
            </w:r>
          </w:p>
        </w:tc>
        <w:tc>
          <w:tcPr>
            <w:tcW w:w="6745" w:type="dxa"/>
          </w:tcPr>
          <w:p w14:paraId="6BD07435" w14:textId="0F0C8BA6" w:rsidR="00D14A42" w:rsidRPr="00D14A42" w:rsidRDefault="00C914EF" w:rsidP="00690BC5">
            <w:pPr>
              <w:rPr>
                <w:sz w:val="18"/>
                <w:szCs w:val="18"/>
              </w:rPr>
            </w:pPr>
            <w:r w:rsidRPr="00C914EF">
              <w:rPr>
                <w:sz w:val="18"/>
                <w:szCs w:val="18"/>
              </w:rPr>
              <w:t>The hub Service MDE MUST then broadcast the message to each of the individual Legal Service MDE’s ServeFiling operations and respond synchronously with a single ServiceResponseMessage to the Filing Assembly MDE</w:t>
            </w:r>
          </w:p>
        </w:tc>
      </w:tr>
      <w:tr w:rsidR="003F10B5" w14:paraId="6E05C2E3" w14:textId="77777777" w:rsidTr="00110C13">
        <w:tc>
          <w:tcPr>
            <w:tcW w:w="625" w:type="dxa"/>
          </w:tcPr>
          <w:p w14:paraId="2535ED39" w14:textId="06C24A24" w:rsidR="003F10B5" w:rsidRDefault="003F10B5" w:rsidP="00322AF1">
            <w:pPr>
              <w:rPr>
                <w:sz w:val="18"/>
                <w:szCs w:val="18"/>
              </w:rPr>
            </w:pPr>
            <w:r>
              <w:rPr>
                <w:sz w:val="18"/>
                <w:szCs w:val="18"/>
              </w:rPr>
              <w:t>21.</w:t>
            </w:r>
          </w:p>
        </w:tc>
        <w:tc>
          <w:tcPr>
            <w:tcW w:w="1620" w:type="dxa"/>
          </w:tcPr>
          <w:p w14:paraId="20DA5BE8" w14:textId="2A9AB772" w:rsidR="003F10B5" w:rsidRDefault="003F10B5" w:rsidP="00322AF1">
            <w:pPr>
              <w:rPr>
                <w:sz w:val="18"/>
                <w:szCs w:val="18"/>
              </w:rPr>
            </w:pPr>
            <w:r>
              <w:rPr>
                <w:sz w:val="18"/>
                <w:szCs w:val="18"/>
              </w:rPr>
              <w:t>3.2.5/666</w:t>
            </w:r>
          </w:p>
        </w:tc>
        <w:tc>
          <w:tcPr>
            <w:tcW w:w="6745" w:type="dxa"/>
          </w:tcPr>
          <w:p w14:paraId="74048F98" w14:textId="769CFC31" w:rsidR="003F10B5" w:rsidRPr="00C914EF" w:rsidRDefault="003F10B5" w:rsidP="00690BC5">
            <w:pPr>
              <w:rPr>
                <w:sz w:val="18"/>
                <w:szCs w:val="18"/>
              </w:rPr>
            </w:pPr>
            <w:r w:rsidRPr="003F10B5">
              <w:rPr>
                <w:sz w:val="18"/>
                <w:szCs w:val="18"/>
              </w:rPr>
              <w:t>If a court chooses to support electronic service, then each Filing Assembly MDE MUST support service operations for the clients for which it provides Filing Assembly functionality.</w:t>
            </w:r>
          </w:p>
        </w:tc>
      </w:tr>
      <w:tr w:rsidR="003F10B5" w14:paraId="664D3F98" w14:textId="77777777" w:rsidTr="00110C13">
        <w:tc>
          <w:tcPr>
            <w:tcW w:w="625" w:type="dxa"/>
          </w:tcPr>
          <w:p w14:paraId="2C3220FA" w14:textId="628FD7C3" w:rsidR="003F10B5" w:rsidRDefault="003F10B5" w:rsidP="00322AF1">
            <w:pPr>
              <w:rPr>
                <w:sz w:val="18"/>
                <w:szCs w:val="18"/>
              </w:rPr>
            </w:pPr>
            <w:r>
              <w:rPr>
                <w:sz w:val="18"/>
                <w:szCs w:val="18"/>
              </w:rPr>
              <w:t>22.</w:t>
            </w:r>
          </w:p>
        </w:tc>
        <w:tc>
          <w:tcPr>
            <w:tcW w:w="1620" w:type="dxa"/>
          </w:tcPr>
          <w:p w14:paraId="1A27ED37" w14:textId="1BEB2BF0" w:rsidR="003F10B5" w:rsidRDefault="003F10B5" w:rsidP="00322AF1">
            <w:pPr>
              <w:rPr>
                <w:sz w:val="18"/>
                <w:szCs w:val="18"/>
              </w:rPr>
            </w:pPr>
            <w:r>
              <w:rPr>
                <w:sz w:val="18"/>
                <w:szCs w:val="18"/>
              </w:rPr>
              <w:t>3.2.6/669</w:t>
            </w:r>
          </w:p>
        </w:tc>
        <w:tc>
          <w:tcPr>
            <w:tcW w:w="6745" w:type="dxa"/>
          </w:tcPr>
          <w:p w14:paraId="08C41B05" w14:textId="31428C4D" w:rsidR="003F10B5" w:rsidRPr="003F10B5" w:rsidRDefault="003F10B5" w:rsidP="00690BC5">
            <w:pPr>
              <w:rPr>
                <w:sz w:val="18"/>
                <w:szCs w:val="18"/>
              </w:rPr>
            </w:pPr>
            <w:r w:rsidRPr="003F10B5">
              <w:rPr>
                <w:sz w:val="18"/>
                <w:szCs w:val="18"/>
              </w:rPr>
              <w:t xml:space="preserve">If the clerk reviews and accepts the filing, the Filing Review MDE MUST invoke the RecordFiling operation on the Court Record MDE.  </w:t>
            </w:r>
          </w:p>
        </w:tc>
      </w:tr>
      <w:tr w:rsidR="003F10B5" w14:paraId="0F5CC551" w14:textId="77777777" w:rsidTr="00110C13">
        <w:tc>
          <w:tcPr>
            <w:tcW w:w="625" w:type="dxa"/>
          </w:tcPr>
          <w:p w14:paraId="3C97B8F3" w14:textId="01454B63" w:rsidR="003F10B5" w:rsidRDefault="006C1373" w:rsidP="00322AF1">
            <w:pPr>
              <w:rPr>
                <w:sz w:val="18"/>
                <w:szCs w:val="18"/>
              </w:rPr>
            </w:pPr>
            <w:r>
              <w:rPr>
                <w:sz w:val="18"/>
                <w:szCs w:val="18"/>
              </w:rPr>
              <w:lastRenderedPageBreak/>
              <w:t>23.</w:t>
            </w:r>
          </w:p>
        </w:tc>
        <w:tc>
          <w:tcPr>
            <w:tcW w:w="1620" w:type="dxa"/>
          </w:tcPr>
          <w:p w14:paraId="239F0DCF" w14:textId="5D801878" w:rsidR="003F10B5" w:rsidRDefault="006C1373" w:rsidP="00322AF1">
            <w:pPr>
              <w:rPr>
                <w:sz w:val="18"/>
                <w:szCs w:val="18"/>
              </w:rPr>
            </w:pPr>
            <w:r>
              <w:rPr>
                <w:sz w:val="18"/>
                <w:szCs w:val="18"/>
              </w:rPr>
              <w:t>3.2.7/674</w:t>
            </w:r>
          </w:p>
        </w:tc>
        <w:tc>
          <w:tcPr>
            <w:tcW w:w="6745" w:type="dxa"/>
          </w:tcPr>
          <w:p w14:paraId="27E17546" w14:textId="20FCFE0E" w:rsidR="003F10B5" w:rsidRPr="003F10B5" w:rsidRDefault="006C1373" w:rsidP="00690BC5">
            <w:pPr>
              <w:rPr>
                <w:sz w:val="18"/>
                <w:szCs w:val="18"/>
              </w:rPr>
            </w:pPr>
            <w:r w:rsidRPr="006C1373">
              <w:rPr>
                <w:sz w:val="18"/>
                <w:szCs w:val="18"/>
              </w:rPr>
              <w:t>If the &lt;RequireAsynchronousResponsesIndicator&gt; in the court policy is “true”, the Court Record MDE MUST invoke the NotifyDocketingComplete operation on the Filing Review MDE as a callback message to the RecordFiling operation</w:t>
            </w:r>
          </w:p>
        </w:tc>
      </w:tr>
      <w:tr w:rsidR="006C1373" w14:paraId="026C2975" w14:textId="77777777" w:rsidTr="00110C13">
        <w:tc>
          <w:tcPr>
            <w:tcW w:w="625" w:type="dxa"/>
          </w:tcPr>
          <w:p w14:paraId="2ECBDEEC" w14:textId="7D29A4C0" w:rsidR="006C1373" w:rsidRDefault="006C1373" w:rsidP="00322AF1">
            <w:pPr>
              <w:rPr>
                <w:sz w:val="18"/>
                <w:szCs w:val="18"/>
              </w:rPr>
            </w:pPr>
            <w:r>
              <w:rPr>
                <w:sz w:val="18"/>
                <w:szCs w:val="18"/>
              </w:rPr>
              <w:t>24.</w:t>
            </w:r>
          </w:p>
        </w:tc>
        <w:tc>
          <w:tcPr>
            <w:tcW w:w="1620" w:type="dxa"/>
          </w:tcPr>
          <w:p w14:paraId="5E33C838" w14:textId="0C23EAC0" w:rsidR="006C1373" w:rsidRDefault="00331B82" w:rsidP="00322AF1">
            <w:pPr>
              <w:rPr>
                <w:sz w:val="18"/>
                <w:szCs w:val="18"/>
              </w:rPr>
            </w:pPr>
            <w:r>
              <w:rPr>
                <w:sz w:val="18"/>
                <w:szCs w:val="18"/>
              </w:rPr>
              <w:t>3.2.7/677</w:t>
            </w:r>
          </w:p>
        </w:tc>
        <w:tc>
          <w:tcPr>
            <w:tcW w:w="6745" w:type="dxa"/>
          </w:tcPr>
          <w:p w14:paraId="0394E6F0" w14:textId="716AE856" w:rsidR="006C1373" w:rsidRPr="006C1373" w:rsidRDefault="00331B82" w:rsidP="00690BC5">
            <w:pPr>
              <w:rPr>
                <w:sz w:val="18"/>
                <w:szCs w:val="18"/>
              </w:rPr>
            </w:pPr>
            <w:r w:rsidRPr="00331B82">
              <w:rPr>
                <w:sz w:val="18"/>
                <w:szCs w:val="18"/>
              </w:rPr>
              <w:t>If the Court Record MDE rejected the filing, an explanation MUST be provided.</w:t>
            </w:r>
          </w:p>
        </w:tc>
      </w:tr>
      <w:tr w:rsidR="00331B82" w14:paraId="77D79216" w14:textId="77777777" w:rsidTr="00110C13">
        <w:tc>
          <w:tcPr>
            <w:tcW w:w="625" w:type="dxa"/>
          </w:tcPr>
          <w:p w14:paraId="31210657" w14:textId="611A9365" w:rsidR="00331B82" w:rsidRDefault="00331B82" w:rsidP="00322AF1">
            <w:pPr>
              <w:rPr>
                <w:sz w:val="18"/>
                <w:szCs w:val="18"/>
              </w:rPr>
            </w:pPr>
            <w:r>
              <w:rPr>
                <w:sz w:val="18"/>
                <w:szCs w:val="18"/>
              </w:rPr>
              <w:t xml:space="preserve">25. </w:t>
            </w:r>
          </w:p>
        </w:tc>
        <w:tc>
          <w:tcPr>
            <w:tcW w:w="1620" w:type="dxa"/>
          </w:tcPr>
          <w:p w14:paraId="5AFD17D0" w14:textId="63A89498" w:rsidR="00331B82" w:rsidRDefault="009D3D68" w:rsidP="00322AF1">
            <w:pPr>
              <w:rPr>
                <w:sz w:val="18"/>
                <w:szCs w:val="18"/>
              </w:rPr>
            </w:pPr>
            <w:r>
              <w:rPr>
                <w:sz w:val="18"/>
                <w:szCs w:val="18"/>
              </w:rPr>
              <w:t>3.2.7/677</w:t>
            </w:r>
          </w:p>
        </w:tc>
        <w:tc>
          <w:tcPr>
            <w:tcW w:w="6745" w:type="dxa"/>
          </w:tcPr>
          <w:p w14:paraId="3A876918" w14:textId="2D01CED5" w:rsidR="00331B82" w:rsidRPr="00331B82" w:rsidRDefault="009D3D68" w:rsidP="00690BC5">
            <w:pPr>
              <w:rPr>
                <w:sz w:val="18"/>
                <w:szCs w:val="18"/>
              </w:rPr>
            </w:pPr>
            <w:r w:rsidRPr="009D3D68">
              <w:rPr>
                <w:sz w:val="18"/>
                <w:szCs w:val="18"/>
              </w:rPr>
              <w:t>If the Court Record MDE accepts the filing, the docketing information (e.g. date and time the document was entered into the court record, judge assigned, document identifiers and next court event scheduled) MUST be provided.</w:t>
            </w:r>
          </w:p>
        </w:tc>
      </w:tr>
      <w:tr w:rsidR="009D3D68" w14:paraId="4BB06178" w14:textId="77777777" w:rsidTr="00110C13">
        <w:tc>
          <w:tcPr>
            <w:tcW w:w="625" w:type="dxa"/>
          </w:tcPr>
          <w:p w14:paraId="13848F09" w14:textId="17D3D42C" w:rsidR="009D3D68" w:rsidRDefault="005A5A19" w:rsidP="00322AF1">
            <w:pPr>
              <w:rPr>
                <w:sz w:val="18"/>
                <w:szCs w:val="18"/>
              </w:rPr>
            </w:pPr>
            <w:r>
              <w:rPr>
                <w:sz w:val="18"/>
                <w:szCs w:val="18"/>
              </w:rPr>
              <w:t>26.</w:t>
            </w:r>
          </w:p>
        </w:tc>
        <w:tc>
          <w:tcPr>
            <w:tcW w:w="1620" w:type="dxa"/>
          </w:tcPr>
          <w:p w14:paraId="5F700789" w14:textId="7ABEEA9C" w:rsidR="009D3D68" w:rsidRDefault="005A5A19" w:rsidP="00322AF1">
            <w:pPr>
              <w:rPr>
                <w:sz w:val="18"/>
                <w:szCs w:val="18"/>
              </w:rPr>
            </w:pPr>
            <w:r>
              <w:rPr>
                <w:sz w:val="18"/>
                <w:szCs w:val="18"/>
              </w:rPr>
              <w:t>3.2.8/683</w:t>
            </w:r>
          </w:p>
        </w:tc>
        <w:tc>
          <w:tcPr>
            <w:tcW w:w="6745" w:type="dxa"/>
          </w:tcPr>
          <w:p w14:paraId="67DE069B" w14:textId="7AA0A786" w:rsidR="009D3D68" w:rsidRPr="009D3D68" w:rsidRDefault="005A5A19" w:rsidP="00690BC5">
            <w:pPr>
              <w:rPr>
                <w:sz w:val="18"/>
                <w:szCs w:val="18"/>
              </w:rPr>
            </w:pPr>
            <w:r w:rsidRPr="005A5A19">
              <w:rPr>
                <w:sz w:val="18"/>
                <w:szCs w:val="18"/>
              </w:rPr>
              <w:t>If the clerk rejects the filings or the Filing Review MDE receives the NotifyDocketingComplete message and the &lt;RequireAsynchronousResponsesIndicator&gt; in the court policy is “true”, the Filing Review MDE MUST invoke the NotifyFilingReviewComplete operation on the Filing Assembly MDE</w:t>
            </w:r>
          </w:p>
        </w:tc>
      </w:tr>
      <w:tr w:rsidR="005A5A19" w14:paraId="4E1123A0" w14:textId="77777777" w:rsidTr="00110C13">
        <w:tc>
          <w:tcPr>
            <w:tcW w:w="625" w:type="dxa"/>
          </w:tcPr>
          <w:p w14:paraId="415C3413" w14:textId="3A99166F" w:rsidR="005A5A19" w:rsidRDefault="005A5A19" w:rsidP="00322AF1">
            <w:pPr>
              <w:rPr>
                <w:sz w:val="18"/>
                <w:szCs w:val="18"/>
              </w:rPr>
            </w:pPr>
            <w:r>
              <w:rPr>
                <w:sz w:val="18"/>
                <w:szCs w:val="18"/>
              </w:rPr>
              <w:t>27.</w:t>
            </w:r>
          </w:p>
        </w:tc>
        <w:tc>
          <w:tcPr>
            <w:tcW w:w="1620" w:type="dxa"/>
          </w:tcPr>
          <w:p w14:paraId="09468955" w14:textId="271B6F74" w:rsidR="005A5A19" w:rsidRDefault="005A5A19" w:rsidP="00322AF1">
            <w:pPr>
              <w:rPr>
                <w:sz w:val="18"/>
                <w:szCs w:val="18"/>
              </w:rPr>
            </w:pPr>
            <w:r>
              <w:rPr>
                <w:sz w:val="18"/>
                <w:szCs w:val="18"/>
              </w:rPr>
              <w:t>3.2.8/687</w:t>
            </w:r>
          </w:p>
        </w:tc>
        <w:tc>
          <w:tcPr>
            <w:tcW w:w="6745" w:type="dxa"/>
          </w:tcPr>
          <w:p w14:paraId="720F3FD8" w14:textId="303C60DE" w:rsidR="005A5A19" w:rsidRPr="005A5A19" w:rsidRDefault="005A5A19" w:rsidP="00690BC5">
            <w:pPr>
              <w:rPr>
                <w:sz w:val="18"/>
                <w:szCs w:val="18"/>
              </w:rPr>
            </w:pPr>
            <w:r w:rsidRPr="005A5A19">
              <w:rPr>
                <w:sz w:val="18"/>
                <w:szCs w:val="18"/>
              </w:rPr>
              <w:t>The operation MAY return the filed documents or links to the documents, but MUST include the [FIPS 180-4] SHA 256 document hash,</w:t>
            </w:r>
          </w:p>
        </w:tc>
      </w:tr>
      <w:tr w:rsidR="005A5A19" w14:paraId="724FA506" w14:textId="77777777" w:rsidTr="00110C13">
        <w:tc>
          <w:tcPr>
            <w:tcW w:w="625" w:type="dxa"/>
          </w:tcPr>
          <w:p w14:paraId="37C861BB" w14:textId="7C10BB3A" w:rsidR="005A5A19" w:rsidRDefault="005A5A19" w:rsidP="00322AF1">
            <w:pPr>
              <w:rPr>
                <w:sz w:val="18"/>
                <w:szCs w:val="18"/>
              </w:rPr>
            </w:pPr>
            <w:r>
              <w:rPr>
                <w:sz w:val="18"/>
                <w:szCs w:val="18"/>
              </w:rPr>
              <w:t>28.</w:t>
            </w:r>
          </w:p>
        </w:tc>
        <w:tc>
          <w:tcPr>
            <w:tcW w:w="1620" w:type="dxa"/>
          </w:tcPr>
          <w:p w14:paraId="1D5A065F" w14:textId="1BB7E703" w:rsidR="005A5A19" w:rsidRDefault="005A5A19" w:rsidP="00322AF1">
            <w:pPr>
              <w:rPr>
                <w:sz w:val="18"/>
                <w:szCs w:val="18"/>
              </w:rPr>
            </w:pPr>
            <w:r>
              <w:rPr>
                <w:sz w:val="18"/>
                <w:szCs w:val="18"/>
              </w:rPr>
              <w:t>3.2.8/690</w:t>
            </w:r>
          </w:p>
        </w:tc>
        <w:tc>
          <w:tcPr>
            <w:tcW w:w="6745" w:type="dxa"/>
          </w:tcPr>
          <w:p w14:paraId="21B33046" w14:textId="28F0BE50" w:rsidR="005A5A19" w:rsidRPr="005A5A19" w:rsidRDefault="005A5A19" w:rsidP="00690BC5">
            <w:pPr>
              <w:rPr>
                <w:sz w:val="18"/>
                <w:szCs w:val="18"/>
              </w:rPr>
            </w:pPr>
            <w:r w:rsidRPr="005A5A19">
              <w:rPr>
                <w:sz w:val="18"/>
                <w:szCs w:val="18"/>
              </w:rPr>
              <w:t xml:space="preserve">If the filing included a payment, and the filing was accepted by the clerk and court record system, a receipt for the payment MUST be included in the operation.  </w:t>
            </w:r>
          </w:p>
        </w:tc>
      </w:tr>
      <w:tr w:rsidR="005A5A19" w14:paraId="0C6A0567" w14:textId="77777777" w:rsidTr="00110C13">
        <w:tc>
          <w:tcPr>
            <w:tcW w:w="625" w:type="dxa"/>
          </w:tcPr>
          <w:p w14:paraId="4F810D04" w14:textId="1E8453C6" w:rsidR="005A5A19" w:rsidRDefault="00D12820" w:rsidP="00322AF1">
            <w:pPr>
              <w:rPr>
                <w:sz w:val="18"/>
                <w:szCs w:val="18"/>
              </w:rPr>
            </w:pPr>
            <w:r>
              <w:rPr>
                <w:sz w:val="18"/>
                <w:szCs w:val="18"/>
              </w:rPr>
              <w:t>29.</w:t>
            </w:r>
          </w:p>
        </w:tc>
        <w:tc>
          <w:tcPr>
            <w:tcW w:w="1620" w:type="dxa"/>
          </w:tcPr>
          <w:p w14:paraId="24DD2660" w14:textId="68D237B2" w:rsidR="005A5A19" w:rsidRDefault="00D12820" w:rsidP="00322AF1">
            <w:pPr>
              <w:rPr>
                <w:sz w:val="18"/>
                <w:szCs w:val="18"/>
              </w:rPr>
            </w:pPr>
            <w:r>
              <w:rPr>
                <w:sz w:val="18"/>
                <w:szCs w:val="18"/>
              </w:rPr>
              <w:t>3.3.1.1/723</w:t>
            </w:r>
          </w:p>
        </w:tc>
        <w:tc>
          <w:tcPr>
            <w:tcW w:w="6745" w:type="dxa"/>
          </w:tcPr>
          <w:p w14:paraId="5315F522" w14:textId="5A88F524" w:rsidR="005A5A19" w:rsidRPr="005A5A19" w:rsidRDefault="00D12820" w:rsidP="00690BC5">
            <w:pPr>
              <w:rPr>
                <w:sz w:val="18"/>
                <w:szCs w:val="18"/>
              </w:rPr>
            </w:pPr>
            <w:r w:rsidRPr="00D12820">
              <w:rPr>
                <w:sz w:val="18"/>
                <w:szCs w:val="18"/>
              </w:rPr>
              <w:t>Attachment identifiers MUST be unique within a message transmission.</w:t>
            </w:r>
          </w:p>
        </w:tc>
      </w:tr>
      <w:tr w:rsidR="00D12820" w14:paraId="0514E88D" w14:textId="77777777" w:rsidTr="00110C13">
        <w:tc>
          <w:tcPr>
            <w:tcW w:w="625" w:type="dxa"/>
          </w:tcPr>
          <w:p w14:paraId="55F2354A" w14:textId="375D7568" w:rsidR="00D12820" w:rsidRDefault="00D12820" w:rsidP="00322AF1">
            <w:pPr>
              <w:rPr>
                <w:sz w:val="18"/>
                <w:szCs w:val="18"/>
              </w:rPr>
            </w:pPr>
            <w:r>
              <w:rPr>
                <w:sz w:val="18"/>
                <w:szCs w:val="18"/>
              </w:rPr>
              <w:t>30.</w:t>
            </w:r>
          </w:p>
        </w:tc>
        <w:tc>
          <w:tcPr>
            <w:tcW w:w="1620" w:type="dxa"/>
          </w:tcPr>
          <w:p w14:paraId="47F34CD9" w14:textId="55B4D660" w:rsidR="00D12820" w:rsidRDefault="00D12820" w:rsidP="00322AF1">
            <w:pPr>
              <w:rPr>
                <w:sz w:val="18"/>
                <w:szCs w:val="18"/>
              </w:rPr>
            </w:pPr>
            <w:r>
              <w:rPr>
                <w:sz w:val="18"/>
                <w:szCs w:val="18"/>
              </w:rPr>
              <w:t>3.3.1.2/727</w:t>
            </w:r>
          </w:p>
        </w:tc>
        <w:tc>
          <w:tcPr>
            <w:tcW w:w="6745" w:type="dxa"/>
          </w:tcPr>
          <w:p w14:paraId="5BD7E910" w14:textId="4EE2340D" w:rsidR="00D12820" w:rsidRPr="00D12820" w:rsidRDefault="00D12820" w:rsidP="00690BC5">
            <w:pPr>
              <w:rPr>
                <w:sz w:val="18"/>
                <w:szCs w:val="18"/>
              </w:rPr>
            </w:pPr>
            <w:r w:rsidRPr="00D12820">
              <w:rPr>
                <w:sz w:val="18"/>
                <w:szCs w:val="18"/>
              </w:rPr>
              <w:t>Case identifiers (case numbers) are assigned by the court record system and MUST be unique within a court.</w:t>
            </w:r>
          </w:p>
        </w:tc>
      </w:tr>
      <w:tr w:rsidR="00D12820" w14:paraId="4FBB74DB" w14:textId="77777777" w:rsidTr="00110C13">
        <w:tc>
          <w:tcPr>
            <w:tcW w:w="625" w:type="dxa"/>
          </w:tcPr>
          <w:p w14:paraId="3CE0C780" w14:textId="4F051C34" w:rsidR="00D12820" w:rsidRDefault="00D12820" w:rsidP="00322AF1">
            <w:pPr>
              <w:rPr>
                <w:sz w:val="18"/>
                <w:szCs w:val="18"/>
              </w:rPr>
            </w:pPr>
            <w:r>
              <w:rPr>
                <w:sz w:val="18"/>
                <w:szCs w:val="18"/>
              </w:rPr>
              <w:t xml:space="preserve">31. </w:t>
            </w:r>
          </w:p>
        </w:tc>
        <w:tc>
          <w:tcPr>
            <w:tcW w:w="1620" w:type="dxa"/>
          </w:tcPr>
          <w:p w14:paraId="16525391" w14:textId="794FA20E" w:rsidR="00D12820" w:rsidRDefault="00D12820" w:rsidP="00322AF1">
            <w:pPr>
              <w:rPr>
                <w:sz w:val="18"/>
                <w:szCs w:val="18"/>
              </w:rPr>
            </w:pPr>
            <w:r>
              <w:rPr>
                <w:sz w:val="18"/>
                <w:szCs w:val="18"/>
              </w:rPr>
              <w:t>3.3.1.3/730</w:t>
            </w:r>
          </w:p>
        </w:tc>
        <w:tc>
          <w:tcPr>
            <w:tcW w:w="6745" w:type="dxa"/>
          </w:tcPr>
          <w:p w14:paraId="6F5CA1E3" w14:textId="28711567" w:rsidR="00D12820" w:rsidRPr="00D12820" w:rsidRDefault="00D12820" w:rsidP="00690BC5">
            <w:pPr>
              <w:rPr>
                <w:sz w:val="18"/>
                <w:szCs w:val="18"/>
              </w:rPr>
            </w:pPr>
            <w:r w:rsidRPr="00D12820">
              <w:rPr>
                <w:sz w:val="18"/>
                <w:szCs w:val="18"/>
              </w:rPr>
              <w:t>Court identifiers are locally assigned by the court administrator for a region (typically a state, provincial or federal court administrator) and MUST be universally unique to a court but not necessarily to a particular court house, branch or subunit of a court.</w:t>
            </w:r>
          </w:p>
        </w:tc>
      </w:tr>
      <w:tr w:rsidR="00D12820" w14:paraId="73F8A24E" w14:textId="77777777" w:rsidTr="00110C13">
        <w:tc>
          <w:tcPr>
            <w:tcW w:w="625" w:type="dxa"/>
          </w:tcPr>
          <w:p w14:paraId="5EE75C66" w14:textId="079654BB" w:rsidR="00D12820" w:rsidRDefault="00D12820" w:rsidP="00322AF1">
            <w:pPr>
              <w:rPr>
                <w:sz w:val="18"/>
                <w:szCs w:val="18"/>
              </w:rPr>
            </w:pPr>
            <w:r>
              <w:rPr>
                <w:sz w:val="18"/>
                <w:szCs w:val="18"/>
              </w:rPr>
              <w:t>32.</w:t>
            </w:r>
          </w:p>
        </w:tc>
        <w:tc>
          <w:tcPr>
            <w:tcW w:w="1620" w:type="dxa"/>
          </w:tcPr>
          <w:p w14:paraId="6CD0A1B3" w14:textId="217FB30F" w:rsidR="00D12820" w:rsidRDefault="00D12820" w:rsidP="00322AF1">
            <w:pPr>
              <w:rPr>
                <w:sz w:val="18"/>
                <w:szCs w:val="18"/>
              </w:rPr>
            </w:pPr>
            <w:r>
              <w:rPr>
                <w:sz w:val="18"/>
                <w:szCs w:val="18"/>
              </w:rPr>
              <w:t>3.3.1.3/732</w:t>
            </w:r>
          </w:p>
        </w:tc>
        <w:tc>
          <w:tcPr>
            <w:tcW w:w="6745" w:type="dxa"/>
          </w:tcPr>
          <w:p w14:paraId="503CD37F" w14:textId="77777777" w:rsidR="00D12820" w:rsidRPr="00D12820" w:rsidRDefault="00D12820" w:rsidP="00D12820">
            <w:pPr>
              <w:rPr>
                <w:sz w:val="18"/>
                <w:szCs w:val="18"/>
              </w:rPr>
            </w:pPr>
            <w:r w:rsidRPr="00D12820">
              <w:rPr>
                <w:sz w:val="18"/>
                <w:szCs w:val="18"/>
              </w:rPr>
              <w:t xml:space="preserve">Court identifiers MUST conform to following convention:  </w:t>
            </w:r>
          </w:p>
          <w:p w14:paraId="1AD83868" w14:textId="488A82C2" w:rsidR="00D12820" w:rsidRPr="00D12820" w:rsidRDefault="00D12820" w:rsidP="00D12820">
            <w:pPr>
              <w:rPr>
                <w:sz w:val="18"/>
                <w:szCs w:val="18"/>
              </w:rPr>
            </w:pPr>
            <w:r w:rsidRPr="00D12820">
              <w:rPr>
                <w:sz w:val="18"/>
                <w:szCs w:val="18"/>
              </w:rPr>
              <w:t xml:space="preserve">&lt;Internet domain of the court administrator&gt;:&lt;unique identifier within the court system&gt;.  </w:t>
            </w:r>
          </w:p>
        </w:tc>
      </w:tr>
      <w:tr w:rsidR="00D12820" w14:paraId="2F9428B3" w14:textId="77777777" w:rsidTr="00110C13">
        <w:tc>
          <w:tcPr>
            <w:tcW w:w="625" w:type="dxa"/>
          </w:tcPr>
          <w:p w14:paraId="545FB9F3" w14:textId="25838D95" w:rsidR="00D12820" w:rsidRDefault="00C13D8A" w:rsidP="00322AF1">
            <w:pPr>
              <w:rPr>
                <w:sz w:val="18"/>
                <w:szCs w:val="18"/>
              </w:rPr>
            </w:pPr>
            <w:r>
              <w:rPr>
                <w:sz w:val="18"/>
                <w:szCs w:val="18"/>
              </w:rPr>
              <w:t>33.</w:t>
            </w:r>
          </w:p>
        </w:tc>
        <w:tc>
          <w:tcPr>
            <w:tcW w:w="1620" w:type="dxa"/>
          </w:tcPr>
          <w:p w14:paraId="776D701F" w14:textId="6AC144C0" w:rsidR="00D12820" w:rsidRDefault="00C13D8A" w:rsidP="00322AF1">
            <w:pPr>
              <w:rPr>
                <w:sz w:val="18"/>
                <w:szCs w:val="18"/>
              </w:rPr>
            </w:pPr>
            <w:r>
              <w:rPr>
                <w:sz w:val="18"/>
                <w:szCs w:val="18"/>
              </w:rPr>
              <w:t>3.3.1.4/741</w:t>
            </w:r>
          </w:p>
        </w:tc>
        <w:tc>
          <w:tcPr>
            <w:tcW w:w="6745" w:type="dxa"/>
          </w:tcPr>
          <w:p w14:paraId="3C735517" w14:textId="3FA9F2F3" w:rsidR="00D12820" w:rsidRPr="00D12820" w:rsidRDefault="00C13D8A" w:rsidP="00D12820">
            <w:pPr>
              <w:rPr>
                <w:sz w:val="18"/>
                <w:szCs w:val="18"/>
              </w:rPr>
            </w:pPr>
            <w:r w:rsidRPr="00C13D8A">
              <w:rPr>
                <w:sz w:val="18"/>
                <w:szCs w:val="18"/>
              </w:rPr>
              <w:t>Document identifiers are assigned by the court record system and MUST be unique within a court.</w:t>
            </w:r>
          </w:p>
        </w:tc>
      </w:tr>
      <w:tr w:rsidR="00C13D8A" w14:paraId="05267E96" w14:textId="77777777" w:rsidTr="00110C13">
        <w:tc>
          <w:tcPr>
            <w:tcW w:w="625" w:type="dxa"/>
          </w:tcPr>
          <w:p w14:paraId="6553F0AC" w14:textId="22230535" w:rsidR="00C13D8A" w:rsidRDefault="00C13D8A" w:rsidP="00322AF1">
            <w:pPr>
              <w:rPr>
                <w:sz w:val="18"/>
                <w:szCs w:val="18"/>
              </w:rPr>
            </w:pPr>
            <w:r>
              <w:rPr>
                <w:sz w:val="18"/>
                <w:szCs w:val="18"/>
              </w:rPr>
              <w:t>34.</w:t>
            </w:r>
          </w:p>
        </w:tc>
        <w:tc>
          <w:tcPr>
            <w:tcW w:w="1620" w:type="dxa"/>
          </w:tcPr>
          <w:p w14:paraId="6044E274" w14:textId="1F7ED80A" w:rsidR="00C13D8A" w:rsidRDefault="00C13D8A" w:rsidP="00322AF1">
            <w:pPr>
              <w:rPr>
                <w:sz w:val="18"/>
                <w:szCs w:val="18"/>
              </w:rPr>
            </w:pPr>
            <w:r>
              <w:rPr>
                <w:sz w:val="18"/>
                <w:szCs w:val="18"/>
              </w:rPr>
              <w:t>3.3.1.5/743</w:t>
            </w:r>
          </w:p>
        </w:tc>
        <w:tc>
          <w:tcPr>
            <w:tcW w:w="6745" w:type="dxa"/>
          </w:tcPr>
          <w:p w14:paraId="4DB07287" w14:textId="768E1460" w:rsidR="00C13D8A" w:rsidRPr="00C13D8A" w:rsidRDefault="00C13D8A" w:rsidP="00D12820">
            <w:pPr>
              <w:rPr>
                <w:sz w:val="18"/>
                <w:szCs w:val="18"/>
              </w:rPr>
            </w:pPr>
            <w:r w:rsidRPr="00C13D8A">
              <w:rPr>
                <w:sz w:val="18"/>
                <w:szCs w:val="18"/>
              </w:rPr>
              <w:t>Filing identifiers MUST be unique within a court and will be generated by the court in response to a ReviewFiling operation.</w:t>
            </w:r>
          </w:p>
        </w:tc>
      </w:tr>
      <w:tr w:rsidR="00C13D8A" w14:paraId="3ECCE531" w14:textId="77777777" w:rsidTr="00110C13">
        <w:tc>
          <w:tcPr>
            <w:tcW w:w="625" w:type="dxa"/>
          </w:tcPr>
          <w:p w14:paraId="4244D3A5" w14:textId="0BEADCFF" w:rsidR="00C13D8A" w:rsidRDefault="00C13D8A" w:rsidP="00322AF1">
            <w:pPr>
              <w:rPr>
                <w:sz w:val="18"/>
                <w:szCs w:val="18"/>
              </w:rPr>
            </w:pPr>
            <w:r>
              <w:rPr>
                <w:sz w:val="18"/>
                <w:szCs w:val="18"/>
              </w:rPr>
              <w:t>35.</w:t>
            </w:r>
          </w:p>
        </w:tc>
        <w:tc>
          <w:tcPr>
            <w:tcW w:w="1620" w:type="dxa"/>
          </w:tcPr>
          <w:p w14:paraId="6578421F" w14:textId="169CA36D" w:rsidR="00C13D8A" w:rsidRDefault="00C13D8A" w:rsidP="00322AF1">
            <w:pPr>
              <w:rPr>
                <w:sz w:val="18"/>
                <w:szCs w:val="18"/>
              </w:rPr>
            </w:pPr>
            <w:r>
              <w:rPr>
                <w:sz w:val="18"/>
                <w:szCs w:val="18"/>
              </w:rPr>
              <w:t>3.3.1.6/746</w:t>
            </w:r>
          </w:p>
        </w:tc>
        <w:tc>
          <w:tcPr>
            <w:tcW w:w="6745" w:type="dxa"/>
          </w:tcPr>
          <w:p w14:paraId="518D8FA7" w14:textId="552A09DF" w:rsidR="00C13D8A" w:rsidRPr="00C13D8A" w:rsidRDefault="00C13D8A" w:rsidP="00D12820">
            <w:pPr>
              <w:rPr>
                <w:sz w:val="18"/>
                <w:szCs w:val="18"/>
              </w:rPr>
            </w:pPr>
            <w:r w:rsidRPr="00C13D8A">
              <w:rPr>
                <w:sz w:val="18"/>
                <w:szCs w:val="18"/>
              </w:rPr>
              <w:t>The address of an MDE MUST be unique within a given communications infrastructure.</w:t>
            </w:r>
          </w:p>
        </w:tc>
      </w:tr>
      <w:tr w:rsidR="00C13D8A" w14:paraId="3AE7CF8E" w14:textId="77777777" w:rsidTr="00110C13">
        <w:tc>
          <w:tcPr>
            <w:tcW w:w="625" w:type="dxa"/>
          </w:tcPr>
          <w:p w14:paraId="4C92D930" w14:textId="25F59A02" w:rsidR="00C13D8A" w:rsidRDefault="00C13D8A" w:rsidP="00322AF1">
            <w:pPr>
              <w:rPr>
                <w:sz w:val="18"/>
                <w:szCs w:val="18"/>
              </w:rPr>
            </w:pPr>
            <w:r>
              <w:rPr>
                <w:sz w:val="18"/>
                <w:szCs w:val="18"/>
              </w:rPr>
              <w:t>36.</w:t>
            </w:r>
          </w:p>
        </w:tc>
        <w:tc>
          <w:tcPr>
            <w:tcW w:w="1620" w:type="dxa"/>
          </w:tcPr>
          <w:p w14:paraId="38A2F4E2" w14:textId="3E3EB787" w:rsidR="00C13D8A" w:rsidRDefault="00C13D8A" w:rsidP="00322AF1">
            <w:pPr>
              <w:rPr>
                <w:sz w:val="18"/>
                <w:szCs w:val="18"/>
              </w:rPr>
            </w:pPr>
            <w:r>
              <w:rPr>
                <w:sz w:val="18"/>
                <w:szCs w:val="18"/>
              </w:rPr>
              <w:t>3.3.1.7/750</w:t>
            </w:r>
          </w:p>
        </w:tc>
        <w:tc>
          <w:tcPr>
            <w:tcW w:w="6745" w:type="dxa"/>
          </w:tcPr>
          <w:p w14:paraId="5E9951E6" w14:textId="1C6CAC75" w:rsidR="00C13D8A" w:rsidRPr="00C13D8A" w:rsidRDefault="00C13D8A" w:rsidP="00D12820">
            <w:pPr>
              <w:rPr>
                <w:sz w:val="18"/>
                <w:szCs w:val="18"/>
              </w:rPr>
            </w:pPr>
            <w:r w:rsidRPr="00C13D8A">
              <w:rPr>
                <w:sz w:val="18"/>
                <w:szCs w:val="18"/>
              </w:rPr>
              <w:t>If the &lt;RequireAsynchronousResponsesIndicator&gt; in the CourtPolicyResponseMessage is “true”, then both &lt;SendingMDELocationID&gt; and &lt;SendingMDEProfileCode&gt; MUST be included in all ECF 4.1 messages that include these elements.</w:t>
            </w:r>
          </w:p>
        </w:tc>
      </w:tr>
      <w:tr w:rsidR="00C13D8A" w14:paraId="0AAC9D81" w14:textId="77777777" w:rsidTr="00110C13">
        <w:tc>
          <w:tcPr>
            <w:tcW w:w="625" w:type="dxa"/>
          </w:tcPr>
          <w:p w14:paraId="78A1ABFD" w14:textId="4C80903B" w:rsidR="00C13D8A" w:rsidRDefault="00C13D8A" w:rsidP="00322AF1">
            <w:pPr>
              <w:rPr>
                <w:sz w:val="18"/>
                <w:szCs w:val="18"/>
              </w:rPr>
            </w:pPr>
            <w:r>
              <w:rPr>
                <w:sz w:val="18"/>
                <w:szCs w:val="18"/>
              </w:rPr>
              <w:t>37.</w:t>
            </w:r>
          </w:p>
        </w:tc>
        <w:tc>
          <w:tcPr>
            <w:tcW w:w="1620" w:type="dxa"/>
          </w:tcPr>
          <w:p w14:paraId="6D4FFCBF" w14:textId="47E2FCDD" w:rsidR="00C13D8A" w:rsidRDefault="00C13D8A" w:rsidP="00322AF1">
            <w:pPr>
              <w:rPr>
                <w:sz w:val="18"/>
                <w:szCs w:val="18"/>
              </w:rPr>
            </w:pPr>
            <w:r>
              <w:rPr>
                <w:sz w:val="18"/>
                <w:szCs w:val="18"/>
              </w:rPr>
              <w:t>3.3.1.8/755</w:t>
            </w:r>
          </w:p>
        </w:tc>
        <w:tc>
          <w:tcPr>
            <w:tcW w:w="6745" w:type="dxa"/>
          </w:tcPr>
          <w:p w14:paraId="30A024B2" w14:textId="5736BAB8" w:rsidR="00C13D8A" w:rsidRPr="00C13D8A" w:rsidRDefault="00C13D8A" w:rsidP="00D12820">
            <w:pPr>
              <w:rPr>
                <w:sz w:val="18"/>
                <w:szCs w:val="18"/>
              </w:rPr>
            </w:pPr>
            <w:r w:rsidRPr="00C13D8A">
              <w:rPr>
                <w:sz w:val="18"/>
                <w:szCs w:val="18"/>
              </w:rPr>
              <w:t xml:space="preserve">Identifiers for filers and parties to a case, both persons and organizations, MUST be unique within a case and will be generated by the court in response to a ReviewFiling operation.  </w:t>
            </w:r>
          </w:p>
        </w:tc>
      </w:tr>
      <w:tr w:rsidR="00C13D8A" w14:paraId="7AD248C2" w14:textId="77777777" w:rsidTr="00110C13">
        <w:tc>
          <w:tcPr>
            <w:tcW w:w="625" w:type="dxa"/>
          </w:tcPr>
          <w:p w14:paraId="53052DE7" w14:textId="11E83056" w:rsidR="00C13D8A" w:rsidRDefault="00C13D8A" w:rsidP="00322AF1">
            <w:pPr>
              <w:rPr>
                <w:sz w:val="18"/>
                <w:szCs w:val="18"/>
              </w:rPr>
            </w:pPr>
            <w:r>
              <w:rPr>
                <w:sz w:val="18"/>
                <w:szCs w:val="18"/>
              </w:rPr>
              <w:t>38.</w:t>
            </w:r>
          </w:p>
        </w:tc>
        <w:tc>
          <w:tcPr>
            <w:tcW w:w="1620" w:type="dxa"/>
          </w:tcPr>
          <w:p w14:paraId="08BEDAA7" w14:textId="333AAC44" w:rsidR="00C13D8A" w:rsidRDefault="00C13D8A" w:rsidP="00322AF1">
            <w:pPr>
              <w:rPr>
                <w:sz w:val="18"/>
                <w:szCs w:val="18"/>
              </w:rPr>
            </w:pPr>
            <w:r>
              <w:rPr>
                <w:sz w:val="18"/>
                <w:szCs w:val="18"/>
              </w:rPr>
              <w:t>3.3.3.1/830</w:t>
            </w:r>
          </w:p>
        </w:tc>
        <w:tc>
          <w:tcPr>
            <w:tcW w:w="6745" w:type="dxa"/>
          </w:tcPr>
          <w:p w14:paraId="1CD6E314" w14:textId="070DF5B4" w:rsidR="00C13D8A" w:rsidRPr="00C13D8A" w:rsidRDefault="00C13D8A" w:rsidP="00D12820">
            <w:pPr>
              <w:rPr>
                <w:sz w:val="18"/>
                <w:szCs w:val="18"/>
              </w:rPr>
            </w:pPr>
            <w:r w:rsidRPr="00C13D8A">
              <w:rPr>
                <w:sz w:val="18"/>
                <w:szCs w:val="18"/>
              </w:rPr>
              <w:t>A CoreFilingMessage MUST express the name or names of the party or parties on whose behalf a document is filed, and the party whose document is the subject of a responsive document being submitted for filing.</w:t>
            </w:r>
          </w:p>
        </w:tc>
      </w:tr>
      <w:tr w:rsidR="00C13D8A" w14:paraId="4B284D81" w14:textId="77777777" w:rsidTr="00110C13">
        <w:tc>
          <w:tcPr>
            <w:tcW w:w="625" w:type="dxa"/>
          </w:tcPr>
          <w:p w14:paraId="7C1C2527" w14:textId="7A154BAE" w:rsidR="00C13D8A" w:rsidRDefault="00C13D8A" w:rsidP="00322AF1">
            <w:pPr>
              <w:rPr>
                <w:sz w:val="18"/>
                <w:szCs w:val="18"/>
              </w:rPr>
            </w:pPr>
            <w:r>
              <w:rPr>
                <w:sz w:val="18"/>
                <w:szCs w:val="18"/>
              </w:rPr>
              <w:t>39.</w:t>
            </w:r>
          </w:p>
        </w:tc>
        <w:tc>
          <w:tcPr>
            <w:tcW w:w="1620" w:type="dxa"/>
          </w:tcPr>
          <w:p w14:paraId="5ECA5163" w14:textId="297A3928" w:rsidR="00C13D8A" w:rsidRDefault="00C13D8A" w:rsidP="00322AF1">
            <w:pPr>
              <w:rPr>
                <w:sz w:val="18"/>
                <w:szCs w:val="18"/>
              </w:rPr>
            </w:pPr>
            <w:r>
              <w:rPr>
                <w:sz w:val="18"/>
                <w:szCs w:val="18"/>
              </w:rPr>
              <w:t>3.3.3.1/835</w:t>
            </w:r>
          </w:p>
        </w:tc>
        <w:tc>
          <w:tcPr>
            <w:tcW w:w="6745" w:type="dxa"/>
          </w:tcPr>
          <w:p w14:paraId="12A12580" w14:textId="1345F4EF" w:rsidR="00C13D8A" w:rsidRPr="00C13D8A" w:rsidRDefault="00C13D8A" w:rsidP="00D12820">
            <w:pPr>
              <w:rPr>
                <w:sz w:val="18"/>
                <w:szCs w:val="18"/>
              </w:rPr>
            </w:pPr>
            <w:r w:rsidRPr="00C13D8A">
              <w:rPr>
                <w:sz w:val="18"/>
                <w:szCs w:val="18"/>
              </w:rPr>
              <w:t>If a CoreFilingMessage includes documents, the message MUST include only one level of connected and supporting documents.</w:t>
            </w:r>
          </w:p>
        </w:tc>
      </w:tr>
      <w:tr w:rsidR="00C13D8A" w14:paraId="4BB8F846" w14:textId="77777777" w:rsidTr="00110C13">
        <w:tc>
          <w:tcPr>
            <w:tcW w:w="625" w:type="dxa"/>
          </w:tcPr>
          <w:p w14:paraId="33AD72D2" w14:textId="1E37D084" w:rsidR="00C13D8A" w:rsidRDefault="00C13D8A" w:rsidP="00322AF1">
            <w:pPr>
              <w:rPr>
                <w:sz w:val="18"/>
                <w:szCs w:val="18"/>
              </w:rPr>
            </w:pPr>
            <w:r>
              <w:rPr>
                <w:sz w:val="18"/>
                <w:szCs w:val="18"/>
              </w:rPr>
              <w:t>40.</w:t>
            </w:r>
          </w:p>
        </w:tc>
        <w:tc>
          <w:tcPr>
            <w:tcW w:w="1620" w:type="dxa"/>
          </w:tcPr>
          <w:p w14:paraId="201AAB59" w14:textId="1FBA4F7D" w:rsidR="00C13D8A" w:rsidRDefault="00C5752E" w:rsidP="00322AF1">
            <w:pPr>
              <w:rPr>
                <w:sz w:val="18"/>
                <w:szCs w:val="18"/>
              </w:rPr>
            </w:pPr>
            <w:r>
              <w:rPr>
                <w:sz w:val="18"/>
                <w:szCs w:val="18"/>
              </w:rPr>
              <w:t>3.4/854</w:t>
            </w:r>
          </w:p>
        </w:tc>
        <w:tc>
          <w:tcPr>
            <w:tcW w:w="6745" w:type="dxa"/>
          </w:tcPr>
          <w:p w14:paraId="3A2C2CA1" w14:textId="3F47B20E" w:rsidR="00C13D8A" w:rsidRPr="00C13D8A" w:rsidRDefault="00C5752E" w:rsidP="00D12820">
            <w:pPr>
              <w:rPr>
                <w:sz w:val="18"/>
                <w:szCs w:val="18"/>
              </w:rPr>
            </w:pPr>
            <w:r w:rsidRPr="00C5752E">
              <w:rPr>
                <w:sz w:val="18"/>
                <w:szCs w:val="18"/>
              </w:rPr>
              <w:t xml:space="preserve">All ROA </w:t>
            </w:r>
            <w:r>
              <w:rPr>
                <w:sz w:val="18"/>
                <w:szCs w:val="18"/>
              </w:rPr>
              <w:t xml:space="preserve">(Record on Appeal) </w:t>
            </w:r>
            <w:r w:rsidRPr="00C5752E">
              <w:rPr>
                <w:sz w:val="18"/>
                <w:szCs w:val="18"/>
              </w:rPr>
              <w:t>transactions, either the original filing or subsequent amendments, MUST contain, as the lead document, an Index of Record document that itemizes the content of the record on appeal.</w:t>
            </w:r>
          </w:p>
        </w:tc>
      </w:tr>
      <w:tr w:rsidR="009D18E8" w14:paraId="6779A15B" w14:textId="77777777" w:rsidTr="00110C13">
        <w:tc>
          <w:tcPr>
            <w:tcW w:w="625" w:type="dxa"/>
          </w:tcPr>
          <w:p w14:paraId="611E8282" w14:textId="5BC458CA" w:rsidR="009D18E8" w:rsidRDefault="009D18E8" w:rsidP="00322AF1">
            <w:pPr>
              <w:rPr>
                <w:sz w:val="18"/>
                <w:szCs w:val="18"/>
              </w:rPr>
            </w:pPr>
            <w:r>
              <w:rPr>
                <w:sz w:val="18"/>
                <w:szCs w:val="18"/>
              </w:rPr>
              <w:t>41.</w:t>
            </w:r>
          </w:p>
        </w:tc>
        <w:tc>
          <w:tcPr>
            <w:tcW w:w="1620" w:type="dxa"/>
          </w:tcPr>
          <w:p w14:paraId="6A81A2D8" w14:textId="6D318F90" w:rsidR="009D18E8" w:rsidRDefault="009D18E8" w:rsidP="00322AF1">
            <w:pPr>
              <w:rPr>
                <w:sz w:val="18"/>
                <w:szCs w:val="18"/>
              </w:rPr>
            </w:pPr>
            <w:r>
              <w:rPr>
                <w:sz w:val="18"/>
                <w:szCs w:val="18"/>
              </w:rPr>
              <w:t>3.4/862</w:t>
            </w:r>
          </w:p>
        </w:tc>
        <w:tc>
          <w:tcPr>
            <w:tcW w:w="6745" w:type="dxa"/>
          </w:tcPr>
          <w:p w14:paraId="0A512EB6" w14:textId="49DB5F87" w:rsidR="009D18E8" w:rsidRPr="00C5752E" w:rsidRDefault="009D18E8" w:rsidP="00D12820">
            <w:pPr>
              <w:rPr>
                <w:sz w:val="18"/>
                <w:szCs w:val="18"/>
              </w:rPr>
            </w:pPr>
            <w:r w:rsidRPr="009D18E8">
              <w:rPr>
                <w:sz w:val="18"/>
                <w:szCs w:val="18"/>
              </w:rPr>
              <w:t xml:space="preserve">All ROA documents being submitted, including the Index of Record document and each document within the record, MUST have at least one court-defined document type that indicates the type of transaction to be performed on the document, and whether the document is being added to or stricken from the record.  </w:t>
            </w:r>
          </w:p>
        </w:tc>
      </w:tr>
      <w:tr w:rsidR="009D18E8" w14:paraId="2A31CAF6" w14:textId="77777777" w:rsidTr="00110C13">
        <w:tc>
          <w:tcPr>
            <w:tcW w:w="625" w:type="dxa"/>
          </w:tcPr>
          <w:p w14:paraId="6E8DCB16" w14:textId="6059454C" w:rsidR="009D18E8" w:rsidRDefault="009D18E8" w:rsidP="00322AF1">
            <w:pPr>
              <w:rPr>
                <w:sz w:val="18"/>
                <w:szCs w:val="18"/>
              </w:rPr>
            </w:pPr>
            <w:r>
              <w:rPr>
                <w:sz w:val="18"/>
                <w:szCs w:val="18"/>
              </w:rPr>
              <w:t>42.</w:t>
            </w:r>
          </w:p>
        </w:tc>
        <w:tc>
          <w:tcPr>
            <w:tcW w:w="1620" w:type="dxa"/>
          </w:tcPr>
          <w:p w14:paraId="50B4F6AA" w14:textId="1033513B" w:rsidR="009D18E8" w:rsidRDefault="009D18E8" w:rsidP="00322AF1">
            <w:pPr>
              <w:rPr>
                <w:sz w:val="18"/>
                <w:szCs w:val="18"/>
              </w:rPr>
            </w:pPr>
            <w:r>
              <w:rPr>
                <w:sz w:val="18"/>
                <w:szCs w:val="18"/>
              </w:rPr>
              <w:t>3.4/871</w:t>
            </w:r>
          </w:p>
        </w:tc>
        <w:tc>
          <w:tcPr>
            <w:tcW w:w="6745" w:type="dxa"/>
          </w:tcPr>
          <w:p w14:paraId="4967B259" w14:textId="7FE005A6" w:rsidR="009D18E8" w:rsidRPr="009D18E8" w:rsidRDefault="009D18E8" w:rsidP="00D12820">
            <w:pPr>
              <w:rPr>
                <w:sz w:val="18"/>
                <w:szCs w:val="18"/>
              </w:rPr>
            </w:pPr>
            <w:r w:rsidRPr="009D18E8">
              <w:rPr>
                <w:sz w:val="18"/>
                <w:szCs w:val="18"/>
              </w:rPr>
              <w:t>When a document within the ROA transaction is being stricken from the court record, the document MUST be identified by the unique document identifier, which was provided by the Court Record MDE when the document was initially filed (See section 3.3.1.4).</w:t>
            </w:r>
          </w:p>
        </w:tc>
      </w:tr>
      <w:tr w:rsidR="009D18E8" w14:paraId="6AA1A075" w14:textId="77777777" w:rsidTr="00110C13">
        <w:tc>
          <w:tcPr>
            <w:tcW w:w="625" w:type="dxa"/>
          </w:tcPr>
          <w:p w14:paraId="29A6587D" w14:textId="16096416" w:rsidR="009D18E8" w:rsidRDefault="009D18E8" w:rsidP="00322AF1">
            <w:pPr>
              <w:rPr>
                <w:sz w:val="18"/>
                <w:szCs w:val="18"/>
              </w:rPr>
            </w:pPr>
            <w:r>
              <w:rPr>
                <w:sz w:val="18"/>
                <w:szCs w:val="18"/>
              </w:rPr>
              <w:lastRenderedPageBreak/>
              <w:t>43.</w:t>
            </w:r>
          </w:p>
        </w:tc>
        <w:tc>
          <w:tcPr>
            <w:tcW w:w="1620" w:type="dxa"/>
          </w:tcPr>
          <w:p w14:paraId="6D9D80BC" w14:textId="356892CB" w:rsidR="009D18E8" w:rsidRDefault="009D18E8" w:rsidP="00322AF1">
            <w:pPr>
              <w:rPr>
                <w:sz w:val="18"/>
                <w:szCs w:val="18"/>
              </w:rPr>
            </w:pPr>
            <w:r>
              <w:rPr>
                <w:sz w:val="18"/>
                <w:szCs w:val="18"/>
              </w:rPr>
              <w:t>3.4/875</w:t>
            </w:r>
          </w:p>
        </w:tc>
        <w:tc>
          <w:tcPr>
            <w:tcW w:w="6745" w:type="dxa"/>
          </w:tcPr>
          <w:p w14:paraId="4E609785" w14:textId="4062224E" w:rsidR="009D18E8" w:rsidRPr="009D18E8" w:rsidRDefault="009D18E8" w:rsidP="00D12820">
            <w:pPr>
              <w:rPr>
                <w:sz w:val="18"/>
                <w:szCs w:val="18"/>
              </w:rPr>
            </w:pPr>
            <w:r w:rsidRPr="009D18E8">
              <w:rPr>
                <w:sz w:val="18"/>
                <w:szCs w:val="18"/>
              </w:rPr>
              <w:t>A hierarchical structure of case lineage elements MUST be used to express the target case’s predecessor cases at prior courts. Each predecessor case MAY also have its own predecessor case, as necessary to express the full lineage of an appellate case.</w:t>
            </w:r>
          </w:p>
        </w:tc>
      </w:tr>
      <w:tr w:rsidR="009D18E8" w14:paraId="3CFC1AE5" w14:textId="77777777" w:rsidTr="00110C13">
        <w:tc>
          <w:tcPr>
            <w:tcW w:w="625" w:type="dxa"/>
          </w:tcPr>
          <w:p w14:paraId="25DC768C" w14:textId="2F2879BF" w:rsidR="009D18E8" w:rsidRDefault="009D18E8" w:rsidP="00322AF1">
            <w:pPr>
              <w:rPr>
                <w:sz w:val="18"/>
                <w:szCs w:val="18"/>
              </w:rPr>
            </w:pPr>
            <w:r>
              <w:rPr>
                <w:sz w:val="18"/>
                <w:szCs w:val="18"/>
              </w:rPr>
              <w:t>44.</w:t>
            </w:r>
          </w:p>
        </w:tc>
        <w:tc>
          <w:tcPr>
            <w:tcW w:w="1620" w:type="dxa"/>
          </w:tcPr>
          <w:p w14:paraId="15BCA60A" w14:textId="5DFC3A84" w:rsidR="009D18E8" w:rsidRDefault="009D18E8" w:rsidP="00322AF1">
            <w:pPr>
              <w:rPr>
                <w:sz w:val="18"/>
                <w:szCs w:val="18"/>
              </w:rPr>
            </w:pPr>
            <w:r>
              <w:rPr>
                <w:sz w:val="18"/>
                <w:szCs w:val="18"/>
              </w:rPr>
              <w:t>3.4/879</w:t>
            </w:r>
          </w:p>
        </w:tc>
        <w:tc>
          <w:tcPr>
            <w:tcW w:w="6745" w:type="dxa"/>
          </w:tcPr>
          <w:p w14:paraId="013A848F" w14:textId="6BB4ED0F" w:rsidR="009D18E8" w:rsidRPr="009D18E8" w:rsidRDefault="009D18E8" w:rsidP="00D12820">
            <w:pPr>
              <w:rPr>
                <w:sz w:val="18"/>
                <w:szCs w:val="18"/>
              </w:rPr>
            </w:pPr>
            <w:r w:rsidRPr="009D18E8">
              <w:rPr>
                <w:sz w:val="18"/>
                <w:szCs w:val="18"/>
              </w:rPr>
              <w:t>When the ROA transaction is electronically transferred from one court to another, the target case number in the destination court and the case lineage, which includes the predecessor case number in the sending court, MUST be provided.</w:t>
            </w:r>
          </w:p>
        </w:tc>
      </w:tr>
      <w:tr w:rsidR="009D18E8" w14:paraId="62CC0C1D" w14:textId="77777777" w:rsidTr="00110C13">
        <w:tc>
          <w:tcPr>
            <w:tcW w:w="625" w:type="dxa"/>
          </w:tcPr>
          <w:p w14:paraId="6EF11493" w14:textId="77777777" w:rsidR="009D18E8" w:rsidRDefault="009D18E8" w:rsidP="00322AF1">
            <w:pPr>
              <w:rPr>
                <w:sz w:val="18"/>
                <w:szCs w:val="18"/>
              </w:rPr>
            </w:pPr>
            <w:r>
              <w:rPr>
                <w:sz w:val="18"/>
                <w:szCs w:val="18"/>
              </w:rPr>
              <w:t>45.</w:t>
            </w:r>
          </w:p>
          <w:p w14:paraId="3FCD5721" w14:textId="417797F6" w:rsidR="009D18E8" w:rsidRDefault="009D18E8" w:rsidP="00322AF1">
            <w:pPr>
              <w:rPr>
                <w:sz w:val="18"/>
                <w:szCs w:val="18"/>
              </w:rPr>
            </w:pPr>
            <w:r>
              <w:rPr>
                <w:sz w:val="18"/>
                <w:szCs w:val="18"/>
              </w:rPr>
              <w:t>46.</w:t>
            </w:r>
          </w:p>
        </w:tc>
        <w:tc>
          <w:tcPr>
            <w:tcW w:w="1620" w:type="dxa"/>
          </w:tcPr>
          <w:p w14:paraId="4394755D" w14:textId="01DD2C03" w:rsidR="009D18E8" w:rsidRDefault="009D18E8" w:rsidP="00322AF1">
            <w:pPr>
              <w:rPr>
                <w:sz w:val="18"/>
                <w:szCs w:val="18"/>
              </w:rPr>
            </w:pPr>
            <w:r>
              <w:rPr>
                <w:sz w:val="18"/>
                <w:szCs w:val="18"/>
              </w:rPr>
              <w:t>3.4/883</w:t>
            </w:r>
          </w:p>
        </w:tc>
        <w:tc>
          <w:tcPr>
            <w:tcW w:w="6745" w:type="dxa"/>
          </w:tcPr>
          <w:p w14:paraId="31674B99" w14:textId="41E91418" w:rsidR="009D18E8" w:rsidRPr="009D18E8" w:rsidRDefault="009D18E8" w:rsidP="00D12820">
            <w:pPr>
              <w:rPr>
                <w:sz w:val="18"/>
                <w:szCs w:val="18"/>
              </w:rPr>
            </w:pPr>
            <w:r w:rsidRPr="009D18E8">
              <w:rPr>
                <w:sz w:val="18"/>
                <w:szCs w:val="18"/>
              </w:rPr>
              <w:t>If the ROA transaction is a case initiating filing in the destination court, then the &lt;FilingCase&gt; object MUST be present and the &lt;CaseTrackingID&gt; MUST be absent.</w:t>
            </w:r>
          </w:p>
        </w:tc>
      </w:tr>
      <w:tr w:rsidR="009D18E8" w14:paraId="4DF6AD8C" w14:textId="77777777" w:rsidTr="00110C13">
        <w:tc>
          <w:tcPr>
            <w:tcW w:w="625" w:type="dxa"/>
          </w:tcPr>
          <w:p w14:paraId="5CDF2C0B" w14:textId="35F9E096" w:rsidR="009D18E8" w:rsidRDefault="009D18E8" w:rsidP="00322AF1">
            <w:pPr>
              <w:rPr>
                <w:sz w:val="18"/>
                <w:szCs w:val="18"/>
              </w:rPr>
            </w:pPr>
            <w:r>
              <w:rPr>
                <w:sz w:val="18"/>
                <w:szCs w:val="18"/>
              </w:rPr>
              <w:t>47.</w:t>
            </w:r>
          </w:p>
        </w:tc>
        <w:tc>
          <w:tcPr>
            <w:tcW w:w="1620" w:type="dxa"/>
          </w:tcPr>
          <w:p w14:paraId="78A97803" w14:textId="1DA88E64" w:rsidR="009D18E8" w:rsidRDefault="009D18E8" w:rsidP="00322AF1">
            <w:pPr>
              <w:rPr>
                <w:sz w:val="18"/>
                <w:szCs w:val="18"/>
              </w:rPr>
            </w:pPr>
            <w:r>
              <w:rPr>
                <w:sz w:val="18"/>
                <w:szCs w:val="18"/>
              </w:rPr>
              <w:t>3.4/886</w:t>
            </w:r>
          </w:p>
        </w:tc>
        <w:tc>
          <w:tcPr>
            <w:tcW w:w="6745" w:type="dxa"/>
          </w:tcPr>
          <w:p w14:paraId="186DF903" w14:textId="03BF8461" w:rsidR="009D18E8" w:rsidRPr="009D18E8" w:rsidRDefault="009D18E8" w:rsidP="00D12820">
            <w:pPr>
              <w:rPr>
                <w:sz w:val="18"/>
                <w:szCs w:val="18"/>
              </w:rPr>
            </w:pPr>
            <w:r w:rsidRPr="009D18E8">
              <w:rPr>
                <w:sz w:val="18"/>
                <w:szCs w:val="18"/>
              </w:rPr>
              <w:t>If the ROA transaction is a case initiating filing in the destination court, then the &lt;FilingCase&gt; object MUST be present and the &lt;CaseTrackingID&gt; MUST be absent.</w:t>
            </w:r>
          </w:p>
        </w:tc>
      </w:tr>
      <w:tr w:rsidR="009D18E8" w14:paraId="5B4B718F" w14:textId="77777777" w:rsidTr="00110C13">
        <w:tc>
          <w:tcPr>
            <w:tcW w:w="625" w:type="dxa"/>
          </w:tcPr>
          <w:p w14:paraId="4DA645F5" w14:textId="4D7591BD" w:rsidR="009D18E8" w:rsidRDefault="009D18E8" w:rsidP="00322AF1">
            <w:pPr>
              <w:rPr>
                <w:sz w:val="18"/>
                <w:szCs w:val="18"/>
              </w:rPr>
            </w:pPr>
            <w:r>
              <w:rPr>
                <w:sz w:val="18"/>
                <w:szCs w:val="18"/>
              </w:rPr>
              <w:t>48.</w:t>
            </w:r>
          </w:p>
        </w:tc>
        <w:tc>
          <w:tcPr>
            <w:tcW w:w="1620" w:type="dxa"/>
          </w:tcPr>
          <w:p w14:paraId="7ED6A8E3" w14:textId="11F0CBF7" w:rsidR="009D18E8" w:rsidRDefault="009D18E8" w:rsidP="00322AF1">
            <w:pPr>
              <w:rPr>
                <w:sz w:val="18"/>
                <w:szCs w:val="18"/>
              </w:rPr>
            </w:pPr>
            <w:r>
              <w:rPr>
                <w:sz w:val="18"/>
                <w:szCs w:val="18"/>
              </w:rPr>
              <w:t>3.4/890</w:t>
            </w:r>
          </w:p>
        </w:tc>
        <w:tc>
          <w:tcPr>
            <w:tcW w:w="6745" w:type="dxa"/>
          </w:tcPr>
          <w:p w14:paraId="0C19F7FE" w14:textId="3FD7015E" w:rsidR="009D18E8" w:rsidRPr="009D18E8" w:rsidRDefault="009D18E8" w:rsidP="00D12820">
            <w:pPr>
              <w:rPr>
                <w:sz w:val="18"/>
                <w:szCs w:val="18"/>
              </w:rPr>
            </w:pPr>
            <w:r w:rsidRPr="009D18E8">
              <w:rPr>
                <w:sz w:val="18"/>
                <w:szCs w:val="18"/>
              </w:rPr>
              <w:t>When a ROA amendment transaction is sent, the Index of Record document MUST reflect the status of the record assuming that the transaction will be accepted.</w:t>
            </w:r>
          </w:p>
        </w:tc>
      </w:tr>
      <w:tr w:rsidR="009D18E8" w14:paraId="642E3293" w14:textId="77777777" w:rsidTr="00110C13">
        <w:tc>
          <w:tcPr>
            <w:tcW w:w="625" w:type="dxa"/>
          </w:tcPr>
          <w:p w14:paraId="206340EE" w14:textId="04B8F6C6" w:rsidR="009D18E8" w:rsidRDefault="009D18E8" w:rsidP="00322AF1">
            <w:pPr>
              <w:rPr>
                <w:sz w:val="18"/>
                <w:szCs w:val="18"/>
              </w:rPr>
            </w:pPr>
            <w:r>
              <w:rPr>
                <w:sz w:val="18"/>
                <w:szCs w:val="18"/>
              </w:rPr>
              <w:t>49.</w:t>
            </w:r>
          </w:p>
        </w:tc>
        <w:tc>
          <w:tcPr>
            <w:tcW w:w="1620" w:type="dxa"/>
          </w:tcPr>
          <w:p w14:paraId="1ABEBBE9" w14:textId="6C5FEA14" w:rsidR="009D18E8" w:rsidRDefault="009D18E8" w:rsidP="00322AF1">
            <w:pPr>
              <w:rPr>
                <w:sz w:val="18"/>
                <w:szCs w:val="18"/>
              </w:rPr>
            </w:pPr>
            <w:r>
              <w:rPr>
                <w:sz w:val="18"/>
                <w:szCs w:val="18"/>
              </w:rPr>
              <w:t>3.4/899</w:t>
            </w:r>
          </w:p>
        </w:tc>
        <w:tc>
          <w:tcPr>
            <w:tcW w:w="6745" w:type="dxa"/>
          </w:tcPr>
          <w:p w14:paraId="223B9E22" w14:textId="5DBD463F" w:rsidR="009D18E8" w:rsidRPr="009D18E8" w:rsidRDefault="009D18E8" w:rsidP="00D12820">
            <w:pPr>
              <w:rPr>
                <w:sz w:val="18"/>
                <w:szCs w:val="18"/>
              </w:rPr>
            </w:pPr>
            <w:r w:rsidRPr="009D18E8">
              <w:rPr>
                <w:sz w:val="18"/>
                <w:szCs w:val="18"/>
              </w:rPr>
              <w:t>Individual documents within the ROA transaction MUST not be individually accepted or rejected.</w:t>
            </w:r>
          </w:p>
        </w:tc>
      </w:tr>
      <w:tr w:rsidR="009D18E8" w14:paraId="2A64FDB0" w14:textId="77777777" w:rsidTr="00110C13">
        <w:tc>
          <w:tcPr>
            <w:tcW w:w="625" w:type="dxa"/>
          </w:tcPr>
          <w:p w14:paraId="76BF0608" w14:textId="359E4634" w:rsidR="009D18E8" w:rsidRDefault="009D18E8" w:rsidP="00322AF1">
            <w:pPr>
              <w:rPr>
                <w:sz w:val="18"/>
                <w:szCs w:val="18"/>
              </w:rPr>
            </w:pPr>
            <w:r>
              <w:rPr>
                <w:sz w:val="18"/>
                <w:szCs w:val="18"/>
              </w:rPr>
              <w:t>50.</w:t>
            </w:r>
          </w:p>
        </w:tc>
        <w:tc>
          <w:tcPr>
            <w:tcW w:w="1620" w:type="dxa"/>
          </w:tcPr>
          <w:p w14:paraId="19575E7D" w14:textId="189DE2F7" w:rsidR="009D18E8" w:rsidRDefault="009D18E8" w:rsidP="00322AF1">
            <w:pPr>
              <w:rPr>
                <w:sz w:val="18"/>
                <w:szCs w:val="18"/>
              </w:rPr>
            </w:pPr>
            <w:r>
              <w:rPr>
                <w:sz w:val="18"/>
                <w:szCs w:val="18"/>
              </w:rPr>
              <w:t>3.4/900</w:t>
            </w:r>
          </w:p>
        </w:tc>
        <w:tc>
          <w:tcPr>
            <w:tcW w:w="6745" w:type="dxa"/>
          </w:tcPr>
          <w:p w14:paraId="47D0A55F" w14:textId="2D350193" w:rsidR="009D18E8" w:rsidRPr="009D18E8" w:rsidRDefault="009D18E8" w:rsidP="00D12820">
            <w:pPr>
              <w:rPr>
                <w:sz w:val="18"/>
                <w:szCs w:val="18"/>
              </w:rPr>
            </w:pPr>
            <w:r w:rsidRPr="009D18E8">
              <w:rPr>
                <w:sz w:val="18"/>
                <w:szCs w:val="18"/>
              </w:rPr>
              <w:t>All documents within the ROA transaction MUST have the same acceptance or rejection disposition.</w:t>
            </w:r>
          </w:p>
        </w:tc>
      </w:tr>
      <w:tr w:rsidR="009D18E8" w14:paraId="583BC703" w14:textId="77777777" w:rsidTr="00110C13">
        <w:tc>
          <w:tcPr>
            <w:tcW w:w="625" w:type="dxa"/>
          </w:tcPr>
          <w:p w14:paraId="7DE12ADD" w14:textId="77777777" w:rsidR="009D18E8" w:rsidRDefault="009D18E8" w:rsidP="00322AF1">
            <w:pPr>
              <w:rPr>
                <w:sz w:val="18"/>
                <w:szCs w:val="18"/>
              </w:rPr>
            </w:pPr>
          </w:p>
        </w:tc>
        <w:tc>
          <w:tcPr>
            <w:tcW w:w="1620" w:type="dxa"/>
          </w:tcPr>
          <w:p w14:paraId="42366116" w14:textId="77777777" w:rsidR="009D18E8" w:rsidRDefault="009D18E8" w:rsidP="00322AF1">
            <w:pPr>
              <w:rPr>
                <w:sz w:val="18"/>
                <w:szCs w:val="18"/>
              </w:rPr>
            </w:pPr>
          </w:p>
        </w:tc>
        <w:tc>
          <w:tcPr>
            <w:tcW w:w="6745" w:type="dxa"/>
          </w:tcPr>
          <w:p w14:paraId="3B376C1F" w14:textId="77777777" w:rsidR="009D18E8" w:rsidRPr="009D18E8" w:rsidRDefault="009D18E8" w:rsidP="00D12820">
            <w:pPr>
              <w:rPr>
                <w:sz w:val="18"/>
                <w:szCs w:val="18"/>
              </w:rPr>
            </w:pPr>
          </w:p>
        </w:tc>
      </w:tr>
    </w:tbl>
    <w:p w14:paraId="1744882D" w14:textId="77777777" w:rsidR="00322AF1" w:rsidRPr="00322AF1" w:rsidRDefault="00322AF1" w:rsidP="00322AF1">
      <w:pPr>
        <w:spacing w:after="0"/>
        <w:ind w:left="360"/>
        <w:rPr>
          <w:sz w:val="20"/>
          <w:szCs w:val="20"/>
        </w:rPr>
      </w:pPr>
    </w:p>
    <w:p w14:paraId="5CD74250" w14:textId="3A33BA39" w:rsidR="002F613E" w:rsidRDefault="002F613E" w:rsidP="00E2458E">
      <w:pPr>
        <w:spacing w:after="0"/>
        <w:rPr>
          <w:sz w:val="20"/>
          <w:szCs w:val="20"/>
        </w:rPr>
      </w:pPr>
    </w:p>
    <w:p w14:paraId="57435FC2" w14:textId="77777777" w:rsidR="00753ADA" w:rsidRDefault="00753ADA" w:rsidP="00753ADA">
      <w:pPr>
        <w:spacing w:after="0"/>
        <w:rPr>
          <w:sz w:val="20"/>
          <w:szCs w:val="20"/>
        </w:rPr>
      </w:pPr>
      <w:r>
        <w:rPr>
          <w:sz w:val="20"/>
          <w:szCs w:val="20"/>
        </w:rPr>
        <w:t xml:space="preserve">Recommendation:  </w:t>
      </w:r>
    </w:p>
    <w:p w14:paraId="4EBD75AF" w14:textId="77777777" w:rsidR="00753ADA" w:rsidRPr="00AD02AA" w:rsidRDefault="00753ADA" w:rsidP="00753ADA">
      <w:pPr>
        <w:pStyle w:val="ListParagraph"/>
        <w:numPr>
          <w:ilvl w:val="0"/>
          <w:numId w:val="4"/>
        </w:numPr>
        <w:spacing w:after="0"/>
        <w:rPr>
          <w:sz w:val="20"/>
          <w:szCs w:val="20"/>
        </w:rPr>
      </w:pPr>
      <w:r>
        <w:rPr>
          <w:sz w:val="20"/>
          <w:szCs w:val="20"/>
        </w:rPr>
        <w:t>P</w:t>
      </w:r>
      <w:r w:rsidRPr="00AD02AA">
        <w:rPr>
          <w:sz w:val="20"/>
          <w:szCs w:val="20"/>
        </w:rPr>
        <w:t xml:space="preserve">rovide clear, unambiguous conformance enumeration </w:t>
      </w:r>
      <w:r>
        <w:rPr>
          <w:sz w:val="20"/>
          <w:szCs w:val="20"/>
        </w:rPr>
        <w:t>that</w:t>
      </w:r>
      <w:r w:rsidRPr="00AD02AA">
        <w:rPr>
          <w:sz w:val="20"/>
          <w:szCs w:val="20"/>
        </w:rPr>
        <w:t xml:space="preserve"> highlight issues within the specification that may require additional numbered versions to address.</w:t>
      </w:r>
    </w:p>
    <w:p w14:paraId="55589D1B" w14:textId="77777777" w:rsidR="00753ADA" w:rsidRDefault="00753ADA" w:rsidP="00753ADA">
      <w:pPr>
        <w:pStyle w:val="ListParagraph"/>
        <w:numPr>
          <w:ilvl w:val="0"/>
          <w:numId w:val="4"/>
        </w:numPr>
        <w:spacing w:after="0"/>
        <w:rPr>
          <w:sz w:val="20"/>
          <w:szCs w:val="20"/>
        </w:rPr>
      </w:pPr>
      <w:r>
        <w:rPr>
          <w:sz w:val="20"/>
          <w:szCs w:val="20"/>
        </w:rPr>
        <w:t>Do not</w:t>
      </w:r>
      <w:r w:rsidRPr="00AD02AA">
        <w:rPr>
          <w:sz w:val="20"/>
          <w:szCs w:val="20"/>
        </w:rPr>
        <w:t xml:space="preserve"> hold up approval of the ECF v4.1 specification to develop an enumerated conformance requirements list.</w:t>
      </w:r>
    </w:p>
    <w:p w14:paraId="438FE92E" w14:textId="1489F2D5" w:rsidR="00753ADA" w:rsidRDefault="00753ADA" w:rsidP="00753ADA">
      <w:pPr>
        <w:pStyle w:val="ListParagraph"/>
        <w:numPr>
          <w:ilvl w:val="0"/>
          <w:numId w:val="4"/>
        </w:numPr>
        <w:spacing w:after="0"/>
        <w:rPr>
          <w:sz w:val="20"/>
          <w:szCs w:val="20"/>
        </w:rPr>
      </w:pPr>
      <w:r>
        <w:rPr>
          <w:sz w:val="20"/>
          <w:szCs w:val="20"/>
        </w:rPr>
        <w:t xml:space="preserve">Add </w:t>
      </w:r>
      <w:r>
        <w:rPr>
          <w:sz w:val="20"/>
          <w:szCs w:val="20"/>
        </w:rPr>
        <w:t xml:space="preserve">an </w:t>
      </w:r>
      <w:r>
        <w:rPr>
          <w:sz w:val="20"/>
          <w:szCs w:val="20"/>
        </w:rPr>
        <w:t>enumerated conformance requirements list in</w:t>
      </w:r>
      <w:r w:rsidRPr="00AD02AA">
        <w:rPr>
          <w:sz w:val="20"/>
          <w:szCs w:val="20"/>
        </w:rPr>
        <w:t xml:space="preserve"> later document revision</w:t>
      </w:r>
      <w:r>
        <w:rPr>
          <w:sz w:val="20"/>
          <w:szCs w:val="20"/>
        </w:rPr>
        <w:t>s</w:t>
      </w:r>
      <w:r w:rsidRPr="00AD02AA">
        <w:rPr>
          <w:sz w:val="20"/>
          <w:szCs w:val="20"/>
        </w:rPr>
        <w:t xml:space="preserve">. </w:t>
      </w:r>
    </w:p>
    <w:p w14:paraId="02F1516C" w14:textId="77777777" w:rsidR="00753ADA" w:rsidRPr="00047AF3" w:rsidRDefault="00753ADA" w:rsidP="00753ADA">
      <w:pPr>
        <w:spacing w:after="0"/>
        <w:rPr>
          <w:sz w:val="20"/>
          <w:szCs w:val="20"/>
        </w:rPr>
      </w:pPr>
    </w:p>
    <w:p w14:paraId="61E42782" w14:textId="08CC9426" w:rsidR="002F613E" w:rsidRDefault="002F613E" w:rsidP="00E2458E">
      <w:pPr>
        <w:spacing w:after="0"/>
        <w:rPr>
          <w:sz w:val="20"/>
          <w:szCs w:val="20"/>
        </w:rPr>
      </w:pPr>
    </w:p>
    <w:p w14:paraId="2B5C3B31" w14:textId="77777777" w:rsidR="002F613E" w:rsidRDefault="002F613E" w:rsidP="00E2458E">
      <w:pPr>
        <w:spacing w:after="0"/>
        <w:rPr>
          <w:sz w:val="20"/>
          <w:szCs w:val="20"/>
        </w:rPr>
      </w:pPr>
    </w:p>
    <w:p w14:paraId="46E2A36D" w14:textId="77777777" w:rsidR="00392637" w:rsidRPr="00047AF3" w:rsidRDefault="00392637" w:rsidP="00E2458E">
      <w:pPr>
        <w:spacing w:after="0"/>
        <w:rPr>
          <w:sz w:val="20"/>
          <w:szCs w:val="20"/>
        </w:rPr>
      </w:pPr>
    </w:p>
    <w:sectPr w:rsidR="00392637" w:rsidRPr="00047A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8795" w14:textId="77777777" w:rsidR="002E17A0" w:rsidRDefault="002E17A0" w:rsidP="00413EF6">
      <w:pPr>
        <w:spacing w:after="0" w:line="240" w:lineRule="auto"/>
      </w:pPr>
      <w:r>
        <w:separator/>
      </w:r>
    </w:p>
  </w:endnote>
  <w:endnote w:type="continuationSeparator" w:id="0">
    <w:p w14:paraId="33A8C1A9" w14:textId="77777777" w:rsidR="002E17A0" w:rsidRDefault="002E17A0" w:rsidP="00413E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716E3" w14:textId="79293FD4" w:rsidR="00413EF6" w:rsidRPr="00413EF6" w:rsidRDefault="00413EF6">
    <w:pPr>
      <w:pStyle w:val="Footer"/>
      <w:rPr>
        <w:sz w:val="16"/>
        <w:szCs w:val="16"/>
      </w:rPr>
    </w:pPr>
    <w:r>
      <w:rPr>
        <w:sz w:val="16"/>
        <w:szCs w:val="16"/>
      </w:rPr>
      <w:t>Electronic Court Filing v4.1 Public Review Feedback.docx</w:t>
    </w:r>
    <w:r>
      <w:rPr>
        <w:sz w:val="16"/>
        <w:szCs w:val="16"/>
      </w:rPr>
      <w:tab/>
    </w:r>
    <w:r w:rsidRPr="00413EF6">
      <w:rPr>
        <w:sz w:val="16"/>
        <w:szCs w:val="16"/>
      </w:rPr>
      <w:fldChar w:fldCharType="begin"/>
    </w:r>
    <w:r w:rsidRPr="00413EF6">
      <w:rPr>
        <w:sz w:val="16"/>
        <w:szCs w:val="16"/>
      </w:rPr>
      <w:instrText xml:space="preserve"> PAGE   \* MERGEFORMAT </w:instrText>
    </w:r>
    <w:r w:rsidRPr="00413EF6">
      <w:rPr>
        <w:sz w:val="16"/>
        <w:szCs w:val="16"/>
      </w:rPr>
      <w:fldChar w:fldCharType="separate"/>
    </w:r>
    <w:r w:rsidRPr="00413EF6">
      <w:rPr>
        <w:noProof/>
        <w:sz w:val="16"/>
        <w:szCs w:val="16"/>
      </w:rPr>
      <w:t>1</w:t>
    </w:r>
    <w:r w:rsidRPr="00413EF6">
      <w:rPr>
        <w:noProof/>
        <w:sz w:val="16"/>
        <w:szCs w:val="16"/>
      </w:rPr>
      <w:fldChar w:fldCharType="end"/>
    </w:r>
    <w:r>
      <w:rPr>
        <w:noProof/>
        <w:sz w:val="16"/>
        <w:szCs w:val="16"/>
      </w:rPr>
      <w:tab/>
      <w:t>Gary Graham; Feb. 16,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B004C" w14:textId="77777777" w:rsidR="002E17A0" w:rsidRDefault="002E17A0" w:rsidP="00413EF6">
      <w:pPr>
        <w:spacing w:after="0" w:line="240" w:lineRule="auto"/>
      </w:pPr>
      <w:r>
        <w:separator/>
      </w:r>
    </w:p>
  </w:footnote>
  <w:footnote w:type="continuationSeparator" w:id="0">
    <w:p w14:paraId="1E3C5ECD" w14:textId="77777777" w:rsidR="002E17A0" w:rsidRDefault="002E17A0" w:rsidP="00413E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1718C"/>
    <w:multiLevelType w:val="hybridMultilevel"/>
    <w:tmpl w:val="9F9C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4007F8"/>
    <w:multiLevelType w:val="hybridMultilevel"/>
    <w:tmpl w:val="D19495A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8D80206"/>
    <w:multiLevelType w:val="hybridMultilevel"/>
    <w:tmpl w:val="9E46633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74BC144F"/>
    <w:multiLevelType w:val="hybridMultilevel"/>
    <w:tmpl w:val="8A2679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DAE"/>
    <w:rsid w:val="000207F2"/>
    <w:rsid w:val="00022A82"/>
    <w:rsid w:val="000247EF"/>
    <w:rsid w:val="00030080"/>
    <w:rsid w:val="000446B8"/>
    <w:rsid w:val="00047AF3"/>
    <w:rsid w:val="0005106B"/>
    <w:rsid w:val="000737C9"/>
    <w:rsid w:val="00093A15"/>
    <w:rsid w:val="00096AEB"/>
    <w:rsid w:val="0009770C"/>
    <w:rsid w:val="000B342A"/>
    <w:rsid w:val="000B4F2D"/>
    <w:rsid w:val="000C5903"/>
    <w:rsid w:val="000D4E0F"/>
    <w:rsid w:val="000D7382"/>
    <w:rsid w:val="000E2881"/>
    <w:rsid w:val="000E4B02"/>
    <w:rsid w:val="000F13DD"/>
    <w:rsid w:val="00105B0D"/>
    <w:rsid w:val="00110C13"/>
    <w:rsid w:val="001118C9"/>
    <w:rsid w:val="00122210"/>
    <w:rsid w:val="0013421A"/>
    <w:rsid w:val="0014081E"/>
    <w:rsid w:val="00144065"/>
    <w:rsid w:val="00155154"/>
    <w:rsid w:val="001675EA"/>
    <w:rsid w:val="00184997"/>
    <w:rsid w:val="00185A8D"/>
    <w:rsid w:val="00186F23"/>
    <w:rsid w:val="00197215"/>
    <w:rsid w:val="001A0650"/>
    <w:rsid w:val="001B5A50"/>
    <w:rsid w:val="001D3AAE"/>
    <w:rsid w:val="001E5136"/>
    <w:rsid w:val="00204CE3"/>
    <w:rsid w:val="00214338"/>
    <w:rsid w:val="00220F5B"/>
    <w:rsid w:val="0023444F"/>
    <w:rsid w:val="002369C8"/>
    <w:rsid w:val="00237B2A"/>
    <w:rsid w:val="00237C84"/>
    <w:rsid w:val="002401A5"/>
    <w:rsid w:val="002409D1"/>
    <w:rsid w:val="00245C92"/>
    <w:rsid w:val="00255A4E"/>
    <w:rsid w:val="002637F6"/>
    <w:rsid w:val="00272422"/>
    <w:rsid w:val="00274180"/>
    <w:rsid w:val="002772FA"/>
    <w:rsid w:val="0029264D"/>
    <w:rsid w:val="00296F7B"/>
    <w:rsid w:val="002B0004"/>
    <w:rsid w:val="002B70DF"/>
    <w:rsid w:val="002B7444"/>
    <w:rsid w:val="002C2D03"/>
    <w:rsid w:val="002C3780"/>
    <w:rsid w:val="002C5D4C"/>
    <w:rsid w:val="002C730D"/>
    <w:rsid w:val="002E17A0"/>
    <w:rsid w:val="002F1BA4"/>
    <w:rsid w:val="002F2438"/>
    <w:rsid w:val="002F42FA"/>
    <w:rsid w:val="002F613E"/>
    <w:rsid w:val="002F6A67"/>
    <w:rsid w:val="002F6EE4"/>
    <w:rsid w:val="00303F85"/>
    <w:rsid w:val="00305A2F"/>
    <w:rsid w:val="00307B61"/>
    <w:rsid w:val="00314C08"/>
    <w:rsid w:val="00322AF1"/>
    <w:rsid w:val="00322BC7"/>
    <w:rsid w:val="00326CC7"/>
    <w:rsid w:val="00327A14"/>
    <w:rsid w:val="00331B82"/>
    <w:rsid w:val="003327AC"/>
    <w:rsid w:val="003341DB"/>
    <w:rsid w:val="00335DAD"/>
    <w:rsid w:val="003449BE"/>
    <w:rsid w:val="00352B7C"/>
    <w:rsid w:val="00355A3F"/>
    <w:rsid w:val="00362C49"/>
    <w:rsid w:val="003672E9"/>
    <w:rsid w:val="00392637"/>
    <w:rsid w:val="0039566C"/>
    <w:rsid w:val="003A3B4D"/>
    <w:rsid w:val="003B218F"/>
    <w:rsid w:val="003C1E13"/>
    <w:rsid w:val="003D11B6"/>
    <w:rsid w:val="003D7D87"/>
    <w:rsid w:val="003E0D01"/>
    <w:rsid w:val="003E118F"/>
    <w:rsid w:val="003E5FFA"/>
    <w:rsid w:val="003F10B5"/>
    <w:rsid w:val="003F25FF"/>
    <w:rsid w:val="003F33D9"/>
    <w:rsid w:val="00400813"/>
    <w:rsid w:val="00413EF6"/>
    <w:rsid w:val="004277A5"/>
    <w:rsid w:val="00450C36"/>
    <w:rsid w:val="00456689"/>
    <w:rsid w:val="0046010A"/>
    <w:rsid w:val="004635B7"/>
    <w:rsid w:val="0047190C"/>
    <w:rsid w:val="00472B97"/>
    <w:rsid w:val="00473346"/>
    <w:rsid w:val="00475B84"/>
    <w:rsid w:val="00477465"/>
    <w:rsid w:val="0048311C"/>
    <w:rsid w:val="00491EEF"/>
    <w:rsid w:val="004A2919"/>
    <w:rsid w:val="004A542A"/>
    <w:rsid w:val="004B0077"/>
    <w:rsid w:val="004B39CA"/>
    <w:rsid w:val="004D3000"/>
    <w:rsid w:val="004E231A"/>
    <w:rsid w:val="004E642F"/>
    <w:rsid w:val="004F79E4"/>
    <w:rsid w:val="005011E1"/>
    <w:rsid w:val="0050551F"/>
    <w:rsid w:val="00506241"/>
    <w:rsid w:val="00506790"/>
    <w:rsid w:val="00520A46"/>
    <w:rsid w:val="00521C38"/>
    <w:rsid w:val="005220F5"/>
    <w:rsid w:val="005238BE"/>
    <w:rsid w:val="005251EA"/>
    <w:rsid w:val="00526B49"/>
    <w:rsid w:val="00533972"/>
    <w:rsid w:val="00537DE7"/>
    <w:rsid w:val="005400FB"/>
    <w:rsid w:val="00546CBF"/>
    <w:rsid w:val="0055045E"/>
    <w:rsid w:val="00556279"/>
    <w:rsid w:val="00563796"/>
    <w:rsid w:val="00565F72"/>
    <w:rsid w:val="00566F1D"/>
    <w:rsid w:val="005717F5"/>
    <w:rsid w:val="00571938"/>
    <w:rsid w:val="00576077"/>
    <w:rsid w:val="00576403"/>
    <w:rsid w:val="00581F35"/>
    <w:rsid w:val="00592C28"/>
    <w:rsid w:val="005A41B3"/>
    <w:rsid w:val="005A5A19"/>
    <w:rsid w:val="005A791A"/>
    <w:rsid w:val="005B0CAF"/>
    <w:rsid w:val="005B1C34"/>
    <w:rsid w:val="005B761F"/>
    <w:rsid w:val="005D52E8"/>
    <w:rsid w:val="005E2080"/>
    <w:rsid w:val="005E6BDD"/>
    <w:rsid w:val="005F4784"/>
    <w:rsid w:val="005F5E43"/>
    <w:rsid w:val="005F6C0C"/>
    <w:rsid w:val="00604020"/>
    <w:rsid w:val="006079C5"/>
    <w:rsid w:val="00620C8E"/>
    <w:rsid w:val="00622FE0"/>
    <w:rsid w:val="006250E8"/>
    <w:rsid w:val="00635C2A"/>
    <w:rsid w:val="006439E9"/>
    <w:rsid w:val="00670D45"/>
    <w:rsid w:val="00670FE7"/>
    <w:rsid w:val="00671BC1"/>
    <w:rsid w:val="00673874"/>
    <w:rsid w:val="00677B0B"/>
    <w:rsid w:val="00683E02"/>
    <w:rsid w:val="00690BC5"/>
    <w:rsid w:val="00694905"/>
    <w:rsid w:val="006A2A76"/>
    <w:rsid w:val="006A3A27"/>
    <w:rsid w:val="006A3A51"/>
    <w:rsid w:val="006A658D"/>
    <w:rsid w:val="006A7E92"/>
    <w:rsid w:val="006B4158"/>
    <w:rsid w:val="006B5AA2"/>
    <w:rsid w:val="006B7968"/>
    <w:rsid w:val="006C1373"/>
    <w:rsid w:val="006D3D25"/>
    <w:rsid w:val="006D7045"/>
    <w:rsid w:val="006D7276"/>
    <w:rsid w:val="006E15B9"/>
    <w:rsid w:val="00702CB5"/>
    <w:rsid w:val="00712460"/>
    <w:rsid w:val="00717D5F"/>
    <w:rsid w:val="00721160"/>
    <w:rsid w:val="007213D5"/>
    <w:rsid w:val="00723051"/>
    <w:rsid w:val="00726596"/>
    <w:rsid w:val="007333B6"/>
    <w:rsid w:val="00753ADA"/>
    <w:rsid w:val="00760C50"/>
    <w:rsid w:val="007670CE"/>
    <w:rsid w:val="00767F67"/>
    <w:rsid w:val="00771690"/>
    <w:rsid w:val="007777A8"/>
    <w:rsid w:val="00784408"/>
    <w:rsid w:val="00785C0E"/>
    <w:rsid w:val="0079577A"/>
    <w:rsid w:val="007A0BEC"/>
    <w:rsid w:val="007A11E4"/>
    <w:rsid w:val="007A1221"/>
    <w:rsid w:val="007A322E"/>
    <w:rsid w:val="007A3E30"/>
    <w:rsid w:val="007B6027"/>
    <w:rsid w:val="007C1B8D"/>
    <w:rsid w:val="007C379B"/>
    <w:rsid w:val="007D7FC7"/>
    <w:rsid w:val="007E234F"/>
    <w:rsid w:val="007E41BB"/>
    <w:rsid w:val="007F2899"/>
    <w:rsid w:val="008070E1"/>
    <w:rsid w:val="00812E3E"/>
    <w:rsid w:val="0082307A"/>
    <w:rsid w:val="008255B9"/>
    <w:rsid w:val="008260BE"/>
    <w:rsid w:val="0083496C"/>
    <w:rsid w:val="00834F54"/>
    <w:rsid w:val="0083514D"/>
    <w:rsid w:val="00842EEE"/>
    <w:rsid w:val="00847CA2"/>
    <w:rsid w:val="008507A8"/>
    <w:rsid w:val="008528D3"/>
    <w:rsid w:val="008560EF"/>
    <w:rsid w:val="008641A7"/>
    <w:rsid w:val="00867D34"/>
    <w:rsid w:val="00872CE6"/>
    <w:rsid w:val="0087618F"/>
    <w:rsid w:val="00876357"/>
    <w:rsid w:val="0088122C"/>
    <w:rsid w:val="00881EBE"/>
    <w:rsid w:val="008825B4"/>
    <w:rsid w:val="00882941"/>
    <w:rsid w:val="008863AC"/>
    <w:rsid w:val="0088666D"/>
    <w:rsid w:val="008913DF"/>
    <w:rsid w:val="008918A2"/>
    <w:rsid w:val="00897080"/>
    <w:rsid w:val="0089738A"/>
    <w:rsid w:val="008A2DBC"/>
    <w:rsid w:val="008A3CD8"/>
    <w:rsid w:val="008A4DEF"/>
    <w:rsid w:val="008A5735"/>
    <w:rsid w:val="008A6EED"/>
    <w:rsid w:val="008B3BAB"/>
    <w:rsid w:val="008B4A89"/>
    <w:rsid w:val="008B6702"/>
    <w:rsid w:val="008B73BC"/>
    <w:rsid w:val="008C138B"/>
    <w:rsid w:val="008C7360"/>
    <w:rsid w:val="008D0DF4"/>
    <w:rsid w:val="008D31EB"/>
    <w:rsid w:val="008D542C"/>
    <w:rsid w:val="008D640C"/>
    <w:rsid w:val="008E7DEF"/>
    <w:rsid w:val="008F187B"/>
    <w:rsid w:val="008F4813"/>
    <w:rsid w:val="00901DFA"/>
    <w:rsid w:val="00903879"/>
    <w:rsid w:val="00903882"/>
    <w:rsid w:val="00907FBD"/>
    <w:rsid w:val="0091309F"/>
    <w:rsid w:val="00922E56"/>
    <w:rsid w:val="00934911"/>
    <w:rsid w:val="0093507A"/>
    <w:rsid w:val="009363BD"/>
    <w:rsid w:val="00943343"/>
    <w:rsid w:val="00945199"/>
    <w:rsid w:val="00946FA5"/>
    <w:rsid w:val="009501A7"/>
    <w:rsid w:val="00950E36"/>
    <w:rsid w:val="00951F14"/>
    <w:rsid w:val="00955C56"/>
    <w:rsid w:val="0096016B"/>
    <w:rsid w:val="009606C0"/>
    <w:rsid w:val="00962D5D"/>
    <w:rsid w:val="00982F52"/>
    <w:rsid w:val="0098351E"/>
    <w:rsid w:val="00983EC4"/>
    <w:rsid w:val="009901CD"/>
    <w:rsid w:val="00992B73"/>
    <w:rsid w:val="00994428"/>
    <w:rsid w:val="009944E9"/>
    <w:rsid w:val="0099511B"/>
    <w:rsid w:val="00995D4C"/>
    <w:rsid w:val="009A0AB7"/>
    <w:rsid w:val="009A13C2"/>
    <w:rsid w:val="009B17CC"/>
    <w:rsid w:val="009B5B4B"/>
    <w:rsid w:val="009B5FAD"/>
    <w:rsid w:val="009C07A3"/>
    <w:rsid w:val="009D18E8"/>
    <w:rsid w:val="009D3D68"/>
    <w:rsid w:val="009D5709"/>
    <w:rsid w:val="009E44C5"/>
    <w:rsid w:val="009E5A9A"/>
    <w:rsid w:val="009E6929"/>
    <w:rsid w:val="009F789A"/>
    <w:rsid w:val="00A0511E"/>
    <w:rsid w:val="00A06185"/>
    <w:rsid w:val="00A15208"/>
    <w:rsid w:val="00A24437"/>
    <w:rsid w:val="00A24D8A"/>
    <w:rsid w:val="00A27C84"/>
    <w:rsid w:val="00A5101E"/>
    <w:rsid w:val="00A51211"/>
    <w:rsid w:val="00A514E7"/>
    <w:rsid w:val="00A5368C"/>
    <w:rsid w:val="00A54420"/>
    <w:rsid w:val="00A54FE2"/>
    <w:rsid w:val="00A6060B"/>
    <w:rsid w:val="00A63F55"/>
    <w:rsid w:val="00A674C5"/>
    <w:rsid w:val="00A81FEE"/>
    <w:rsid w:val="00A8285F"/>
    <w:rsid w:val="00A95687"/>
    <w:rsid w:val="00AA33B0"/>
    <w:rsid w:val="00AB61A5"/>
    <w:rsid w:val="00AC4164"/>
    <w:rsid w:val="00AE4373"/>
    <w:rsid w:val="00AE5DD3"/>
    <w:rsid w:val="00AF0004"/>
    <w:rsid w:val="00AF049D"/>
    <w:rsid w:val="00AF09EF"/>
    <w:rsid w:val="00B01EA4"/>
    <w:rsid w:val="00B0586C"/>
    <w:rsid w:val="00B05E68"/>
    <w:rsid w:val="00B3384F"/>
    <w:rsid w:val="00B342DA"/>
    <w:rsid w:val="00B36F6D"/>
    <w:rsid w:val="00B55442"/>
    <w:rsid w:val="00B65574"/>
    <w:rsid w:val="00B91D47"/>
    <w:rsid w:val="00B95243"/>
    <w:rsid w:val="00B97970"/>
    <w:rsid w:val="00BA5530"/>
    <w:rsid w:val="00BB5621"/>
    <w:rsid w:val="00BC1259"/>
    <w:rsid w:val="00BC19E6"/>
    <w:rsid w:val="00BC4492"/>
    <w:rsid w:val="00BD6EC0"/>
    <w:rsid w:val="00BE3A55"/>
    <w:rsid w:val="00BE3B42"/>
    <w:rsid w:val="00BE6252"/>
    <w:rsid w:val="00BE7CEF"/>
    <w:rsid w:val="00BF1AE8"/>
    <w:rsid w:val="00C02DF6"/>
    <w:rsid w:val="00C13D8A"/>
    <w:rsid w:val="00C22A6D"/>
    <w:rsid w:val="00C459AB"/>
    <w:rsid w:val="00C465B5"/>
    <w:rsid w:val="00C50D93"/>
    <w:rsid w:val="00C561A6"/>
    <w:rsid w:val="00C5752E"/>
    <w:rsid w:val="00C61485"/>
    <w:rsid w:val="00C646D3"/>
    <w:rsid w:val="00C64D8C"/>
    <w:rsid w:val="00C64EE1"/>
    <w:rsid w:val="00C6690E"/>
    <w:rsid w:val="00C67C48"/>
    <w:rsid w:val="00C722F8"/>
    <w:rsid w:val="00C76C53"/>
    <w:rsid w:val="00C8259E"/>
    <w:rsid w:val="00C8267F"/>
    <w:rsid w:val="00C914EF"/>
    <w:rsid w:val="00CA4E25"/>
    <w:rsid w:val="00CB4DAE"/>
    <w:rsid w:val="00CC1E42"/>
    <w:rsid w:val="00CE0234"/>
    <w:rsid w:val="00CE6A24"/>
    <w:rsid w:val="00CF0494"/>
    <w:rsid w:val="00CF0A5E"/>
    <w:rsid w:val="00CF4455"/>
    <w:rsid w:val="00CF6CB7"/>
    <w:rsid w:val="00D02D7C"/>
    <w:rsid w:val="00D04768"/>
    <w:rsid w:val="00D0643C"/>
    <w:rsid w:val="00D12820"/>
    <w:rsid w:val="00D12925"/>
    <w:rsid w:val="00D1388C"/>
    <w:rsid w:val="00D14A42"/>
    <w:rsid w:val="00D2242A"/>
    <w:rsid w:val="00D340F3"/>
    <w:rsid w:val="00D420EC"/>
    <w:rsid w:val="00D4511E"/>
    <w:rsid w:val="00D467E7"/>
    <w:rsid w:val="00D47247"/>
    <w:rsid w:val="00D500B7"/>
    <w:rsid w:val="00D51D8D"/>
    <w:rsid w:val="00D56715"/>
    <w:rsid w:val="00D6316F"/>
    <w:rsid w:val="00D63D5E"/>
    <w:rsid w:val="00D66754"/>
    <w:rsid w:val="00D76C56"/>
    <w:rsid w:val="00D8207A"/>
    <w:rsid w:val="00D87AAC"/>
    <w:rsid w:val="00D95971"/>
    <w:rsid w:val="00D9714D"/>
    <w:rsid w:val="00D97C6A"/>
    <w:rsid w:val="00DA2F2C"/>
    <w:rsid w:val="00DB13DF"/>
    <w:rsid w:val="00DC0F43"/>
    <w:rsid w:val="00DC0FF7"/>
    <w:rsid w:val="00DC6D86"/>
    <w:rsid w:val="00DD206C"/>
    <w:rsid w:val="00DE1522"/>
    <w:rsid w:val="00DE1C14"/>
    <w:rsid w:val="00DE77CE"/>
    <w:rsid w:val="00DF2CB6"/>
    <w:rsid w:val="00DF450E"/>
    <w:rsid w:val="00E00582"/>
    <w:rsid w:val="00E14708"/>
    <w:rsid w:val="00E2458E"/>
    <w:rsid w:val="00E33917"/>
    <w:rsid w:val="00E33F4E"/>
    <w:rsid w:val="00E405D3"/>
    <w:rsid w:val="00E414E1"/>
    <w:rsid w:val="00E52036"/>
    <w:rsid w:val="00E6276C"/>
    <w:rsid w:val="00E642B8"/>
    <w:rsid w:val="00E71C19"/>
    <w:rsid w:val="00E73992"/>
    <w:rsid w:val="00E74CC3"/>
    <w:rsid w:val="00E8122F"/>
    <w:rsid w:val="00E83E28"/>
    <w:rsid w:val="00E874A7"/>
    <w:rsid w:val="00E97516"/>
    <w:rsid w:val="00EA7335"/>
    <w:rsid w:val="00EB0D59"/>
    <w:rsid w:val="00EC23CB"/>
    <w:rsid w:val="00EC5147"/>
    <w:rsid w:val="00EE5A25"/>
    <w:rsid w:val="00EE5E3F"/>
    <w:rsid w:val="00EF3638"/>
    <w:rsid w:val="00EF6C47"/>
    <w:rsid w:val="00EF7F4B"/>
    <w:rsid w:val="00F00341"/>
    <w:rsid w:val="00F02F2F"/>
    <w:rsid w:val="00F075BA"/>
    <w:rsid w:val="00F12850"/>
    <w:rsid w:val="00F16F19"/>
    <w:rsid w:val="00F202E7"/>
    <w:rsid w:val="00F224C2"/>
    <w:rsid w:val="00F27213"/>
    <w:rsid w:val="00F40D08"/>
    <w:rsid w:val="00F4289E"/>
    <w:rsid w:val="00F43E96"/>
    <w:rsid w:val="00F53E7A"/>
    <w:rsid w:val="00F6727B"/>
    <w:rsid w:val="00F71A5C"/>
    <w:rsid w:val="00F71F01"/>
    <w:rsid w:val="00F73B48"/>
    <w:rsid w:val="00F80E1E"/>
    <w:rsid w:val="00F83753"/>
    <w:rsid w:val="00F83791"/>
    <w:rsid w:val="00F91712"/>
    <w:rsid w:val="00F93FC3"/>
    <w:rsid w:val="00FA1B34"/>
    <w:rsid w:val="00FA1FEF"/>
    <w:rsid w:val="00FA3886"/>
    <w:rsid w:val="00FB398D"/>
    <w:rsid w:val="00FB7866"/>
    <w:rsid w:val="00FC2EA9"/>
    <w:rsid w:val="00FD037D"/>
    <w:rsid w:val="00FE2A96"/>
    <w:rsid w:val="00FF1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AD792"/>
  <w15:chartTrackingRefBased/>
  <w15:docId w15:val="{A1FA61E5-07A2-4760-8230-CC9E15BA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E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EF6"/>
  </w:style>
  <w:style w:type="paragraph" w:styleId="Footer">
    <w:name w:val="footer"/>
    <w:basedOn w:val="Normal"/>
    <w:link w:val="FooterChar"/>
    <w:uiPriority w:val="99"/>
    <w:unhideWhenUsed/>
    <w:rsid w:val="00413E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EF6"/>
  </w:style>
  <w:style w:type="paragraph" w:styleId="ListParagraph">
    <w:name w:val="List Paragraph"/>
    <w:basedOn w:val="Normal"/>
    <w:uiPriority w:val="34"/>
    <w:qFormat/>
    <w:rsid w:val="00362C49"/>
    <w:pPr>
      <w:ind w:left="720"/>
      <w:contextualSpacing/>
    </w:pPr>
  </w:style>
  <w:style w:type="character" w:styleId="Hyperlink">
    <w:name w:val="Hyperlink"/>
    <w:basedOn w:val="DefaultParagraphFont"/>
    <w:uiPriority w:val="99"/>
    <w:unhideWhenUsed/>
    <w:rsid w:val="00D02D7C"/>
    <w:rPr>
      <w:color w:val="0563C1" w:themeColor="hyperlink"/>
      <w:u w:val="single"/>
    </w:rPr>
  </w:style>
  <w:style w:type="character" w:styleId="UnresolvedMention">
    <w:name w:val="Unresolved Mention"/>
    <w:basedOn w:val="DefaultParagraphFont"/>
    <w:uiPriority w:val="99"/>
    <w:semiHidden/>
    <w:unhideWhenUsed/>
    <w:rsid w:val="00D02D7C"/>
    <w:rPr>
      <w:color w:val="605E5C"/>
      <w:shd w:val="clear" w:color="auto" w:fill="E1DFDD"/>
    </w:rPr>
  </w:style>
  <w:style w:type="table" w:styleId="TableGrid">
    <w:name w:val="Table Grid"/>
    <w:basedOn w:val="TableNormal"/>
    <w:uiPriority w:val="39"/>
    <w:rsid w:val="00110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apps/org/workgroup/legalxml-courtfiling/email/archives/201302/msg00002.html" TargetMode="External"/><Relationship Id="rId3" Type="http://schemas.openxmlformats.org/officeDocument/2006/relationships/settings" Target="settings.xml"/><Relationship Id="rId7" Type="http://schemas.openxmlformats.org/officeDocument/2006/relationships/hyperlink" Target="https://www.oasis-open.org/apps/org/workgroup/legalxml-courtfiling/email/archives/201401/msg0000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15605</TotalTime>
  <Pages>22</Pages>
  <Words>8788</Words>
  <Characters>52201</Characters>
  <Application>Microsoft Office Word</Application>
  <DocSecurity>0</DocSecurity>
  <Lines>4745</Lines>
  <Paragraphs>3209</Paragraphs>
  <ScaleCrop>false</ScaleCrop>
  <HeadingPairs>
    <vt:vector size="2" baseType="variant">
      <vt:variant>
        <vt:lpstr>Title</vt:lpstr>
      </vt:variant>
      <vt:variant>
        <vt:i4>1</vt:i4>
      </vt:variant>
    </vt:vector>
  </HeadingPairs>
  <TitlesOfParts>
    <vt:vector size="1" baseType="lpstr">
      <vt:lpstr/>
    </vt:vector>
  </TitlesOfParts>
  <Company>A.O.C. State Supreme Courts</Company>
  <LinksUpToDate>false</LinksUpToDate>
  <CharactersWithSpaces>57780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451</cp:revision>
  <dcterms:created xsi:type="dcterms:W3CDTF">2023-02-16T13:52:00Z</dcterms:created>
  <dcterms:modified xsi:type="dcterms:W3CDTF">2023-03-04T19:21:00Z</dcterms:modified>
</cp:coreProperties>
</file>