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F2" w:rsidRDefault="00DB09F2" w:rsidP="00DB09F2">
      <w:pPr>
        <w:jc w:val="center"/>
      </w:pPr>
      <w:r>
        <w:t xml:space="preserve">OASIS </w:t>
      </w:r>
      <w:proofErr w:type="spellStart"/>
      <w:r>
        <w:t>LegalXML</w:t>
      </w:r>
      <w:proofErr w:type="spellEnd"/>
      <w:r>
        <w:t xml:space="preserve"> Electronic Court Filing (ECF) Technical Committee (TC)</w:t>
      </w:r>
    </w:p>
    <w:p w:rsidR="00DB09F2" w:rsidRDefault="00DB09F2" w:rsidP="00DB09F2">
      <w:pPr>
        <w:jc w:val="center"/>
      </w:pPr>
      <w:r>
        <w:t xml:space="preserve">Conference Call </w:t>
      </w:r>
      <w:r w:rsidR="00B626AE">
        <w:t>Minutes</w:t>
      </w:r>
    </w:p>
    <w:p w:rsidR="00DB09F2" w:rsidRDefault="00956F69" w:rsidP="00D83255">
      <w:pPr>
        <w:jc w:val="center"/>
      </w:pPr>
      <w:r>
        <w:t xml:space="preserve">January 14, 2014 </w:t>
      </w:r>
      <w:r w:rsidR="00D83AC1">
        <w:t>11am –noon E</w:t>
      </w:r>
      <w:r w:rsidR="00292C62">
        <w:t>D</w:t>
      </w:r>
      <w:r w:rsidR="00D83AC1">
        <w:t>T</w:t>
      </w:r>
      <w:r w:rsidR="00292C62">
        <w:t xml:space="preserve"> / 3pm – 4pm UTC</w:t>
      </w:r>
    </w:p>
    <w:p w:rsidR="00784A7B" w:rsidRDefault="00784A7B" w:rsidP="00784A7B">
      <w:r>
        <w:rPr>
          <w:rStyle w:val="apple-style-span"/>
          <w:rFonts w:ascii="Arial" w:hAnsi="Arial" w:cs="Arial"/>
          <w:color w:val="333333"/>
          <w:sz w:val="20"/>
          <w:szCs w:val="20"/>
        </w:rPr>
        <w:t>Optional Chat/Queue:</w:t>
      </w:r>
      <w:r>
        <w:rPr>
          <w:rStyle w:val="apple-converted-space"/>
          <w:rFonts w:ascii="Arial" w:hAnsi="Arial" w:cs="Arial"/>
          <w:color w:val="333333"/>
          <w:sz w:val="20"/>
          <w:szCs w:val="20"/>
        </w:rPr>
        <w:t> </w:t>
      </w:r>
      <w:hyperlink r:id="rId5" w:history="1">
        <w:r w:rsidRPr="00784A7B">
          <w:rPr>
            <w:rStyle w:val="Hyperlink"/>
            <w:rFonts w:ascii="Arial" w:hAnsi="Arial" w:cs="Arial"/>
            <w:sz w:val="20"/>
            <w:szCs w:val="20"/>
          </w:rPr>
          <w:t>http://webconf.soaphub.org/conf/room/oasis-ecf </w:t>
        </w:r>
      </w:hyperlink>
    </w:p>
    <w:p w:rsidR="00DB09F2" w:rsidRDefault="00DB09F2" w:rsidP="00970C15">
      <w:pPr>
        <w:pStyle w:val="ListParagraph"/>
        <w:numPr>
          <w:ilvl w:val="0"/>
          <w:numId w:val="2"/>
        </w:numPr>
      </w:pPr>
      <w:r>
        <w:t>Old Business</w:t>
      </w:r>
    </w:p>
    <w:p w:rsidR="000C318F" w:rsidRDefault="000C318F" w:rsidP="00DB09F2">
      <w:pPr>
        <w:pStyle w:val="ListParagraph"/>
        <w:numPr>
          <w:ilvl w:val="0"/>
          <w:numId w:val="4"/>
        </w:numPr>
      </w:pPr>
      <w:r>
        <w:t>Review/approval of previous meeting minutes</w:t>
      </w:r>
    </w:p>
    <w:p w:rsidR="00D83255" w:rsidRDefault="00D83255" w:rsidP="00DB09F2">
      <w:pPr>
        <w:pStyle w:val="ListParagraph"/>
        <w:numPr>
          <w:ilvl w:val="0"/>
          <w:numId w:val="4"/>
        </w:numPr>
      </w:pPr>
      <w:r>
        <w:t>Outreach</w:t>
      </w:r>
    </w:p>
    <w:p w:rsidR="00956F69" w:rsidRDefault="00956F69" w:rsidP="00956F69">
      <w:pPr>
        <w:pStyle w:val="ListParagraph"/>
        <w:numPr>
          <w:ilvl w:val="1"/>
          <w:numId w:val="4"/>
        </w:numPr>
      </w:pPr>
      <w:r>
        <w:t>Presentation on ECF and Springboard scheduled for IJIS Winter Briefing on Jan 16 by Jim Harris, Bob Slaski &amp; Joe Wheeler</w:t>
      </w:r>
    </w:p>
    <w:p w:rsidR="00CD6C7E" w:rsidRDefault="00CD6C7E" w:rsidP="00CD6C7E">
      <w:pPr>
        <w:pStyle w:val="ListParagraph"/>
        <w:ind w:left="1440"/>
      </w:pPr>
    </w:p>
    <w:p w:rsidR="00C3770F" w:rsidRDefault="00CD6C7E" w:rsidP="00CD6C7E">
      <w:pPr>
        <w:pStyle w:val="ListParagraph"/>
        <w:numPr>
          <w:ilvl w:val="0"/>
          <w:numId w:val="2"/>
        </w:numPr>
      </w:pPr>
      <w:r>
        <w:t>New  Business</w:t>
      </w:r>
    </w:p>
    <w:p w:rsidR="00EA57DF" w:rsidRDefault="00EA57DF" w:rsidP="00EA57DF">
      <w:pPr>
        <w:pStyle w:val="PlainText"/>
        <w:numPr>
          <w:ilvl w:val="0"/>
          <w:numId w:val="4"/>
        </w:numPr>
      </w:pPr>
      <w:r>
        <w:t>NIEM/GRA updates</w:t>
      </w:r>
    </w:p>
    <w:p w:rsidR="00EA57DF" w:rsidRDefault="00EA57DF" w:rsidP="00EA57DF">
      <w:pPr>
        <w:pStyle w:val="PlainText"/>
        <w:numPr>
          <w:ilvl w:val="1"/>
          <w:numId w:val="4"/>
        </w:numPr>
      </w:pPr>
      <w:r>
        <w:t>XSTF updates – NIEM 3.0, XSTF representative</w:t>
      </w:r>
    </w:p>
    <w:p w:rsidR="00EA57DF" w:rsidRDefault="002C205F" w:rsidP="002C205F">
      <w:pPr>
        <w:pStyle w:val="PlainText"/>
        <w:ind w:left="360"/>
      </w:pPr>
      <w:r>
        <w:t xml:space="preserve">A lot of rules are being generated in </w:t>
      </w:r>
      <w:proofErr w:type="spellStart"/>
      <w:r>
        <w:t>Schematron</w:t>
      </w:r>
      <w:proofErr w:type="spellEnd"/>
      <w:r>
        <w:t>.</w:t>
      </w:r>
    </w:p>
    <w:p w:rsidR="002C205F" w:rsidRDefault="002C205F" w:rsidP="002C205F">
      <w:pPr>
        <w:pStyle w:val="PlainText"/>
        <w:ind w:left="360"/>
      </w:pPr>
    </w:p>
    <w:p w:rsidR="00A27350" w:rsidRDefault="00A27350" w:rsidP="00A27350">
      <w:pPr>
        <w:pStyle w:val="PlainText"/>
        <w:numPr>
          <w:ilvl w:val="0"/>
          <w:numId w:val="4"/>
        </w:numPr>
      </w:pPr>
      <w:r>
        <w:t>IJIS Springboard</w:t>
      </w:r>
    </w:p>
    <w:p w:rsidR="00956F69" w:rsidRDefault="00A27350" w:rsidP="00956F69">
      <w:pPr>
        <w:pStyle w:val="PlainText"/>
        <w:numPr>
          <w:ilvl w:val="1"/>
          <w:numId w:val="4"/>
        </w:numPr>
      </w:pPr>
      <w:r>
        <w:t xml:space="preserve">ECF Springboard project held meetings on </w:t>
      </w:r>
      <w:r w:rsidR="00956F69">
        <w:t xml:space="preserve">12/19 </w:t>
      </w:r>
      <w:r w:rsidR="00145617">
        <w:t xml:space="preserve">and </w:t>
      </w:r>
      <w:r w:rsidR="00956F69">
        <w:t>1/9</w:t>
      </w:r>
      <w:r>
        <w:t>.  The minutes were distributed to the ECF list.</w:t>
      </w:r>
      <w:r w:rsidR="00434891">
        <w:t xml:space="preserve"> Springboard will meet again on </w:t>
      </w:r>
      <w:r w:rsidR="00956F69">
        <w:t>1/23</w:t>
      </w:r>
      <w:r w:rsidR="00905113">
        <w:t>.</w:t>
      </w:r>
    </w:p>
    <w:p w:rsidR="00956F69" w:rsidRDefault="00956F69" w:rsidP="00905113">
      <w:pPr>
        <w:pStyle w:val="PlainText"/>
        <w:numPr>
          <w:ilvl w:val="1"/>
          <w:numId w:val="4"/>
        </w:numPr>
      </w:pPr>
      <w:r>
        <w:t>The GA AOC is currently beginning the conformance testing process.</w:t>
      </w:r>
    </w:p>
    <w:p w:rsidR="002C205F" w:rsidRDefault="00836576" w:rsidP="002C205F">
      <w:pPr>
        <w:pStyle w:val="PlainText"/>
      </w:pPr>
      <w:r>
        <w:t xml:space="preserve">Tony </w:t>
      </w:r>
      <w:proofErr w:type="spellStart"/>
      <w:r>
        <w:t>Mazza</w:t>
      </w:r>
      <w:proofErr w:type="spellEnd"/>
      <w:r>
        <w:t xml:space="preserve"> reported </w:t>
      </w:r>
      <w:r w:rsidR="002C205F">
        <w:t xml:space="preserve">Michael Alexandrou is the primary GA person working on it. Springboard is working to build a list of others to be tested.  Several of Georgia’s vendors are interested.  Funding is being requested from the legislature to support this effort. </w:t>
      </w:r>
    </w:p>
    <w:p w:rsidR="002C205F" w:rsidRDefault="002C205F" w:rsidP="002C205F">
      <w:pPr>
        <w:pStyle w:val="PlainText"/>
      </w:pPr>
    </w:p>
    <w:p w:rsidR="00905113" w:rsidRDefault="00956F69" w:rsidP="00870A4D">
      <w:pPr>
        <w:pStyle w:val="PlainText"/>
        <w:numPr>
          <w:ilvl w:val="1"/>
          <w:numId w:val="4"/>
        </w:numPr>
      </w:pPr>
      <w:r>
        <w:t>Springboard agreed to extend the deadline for feedback until Jan 31 to accommodate feedback from the TC.</w:t>
      </w:r>
      <w:r w:rsidR="00870A4D">
        <w:t xml:space="preserve"> </w:t>
      </w:r>
      <w:r w:rsidR="00905113">
        <w:t>Review QA feedback provided by Springboard and Open Networks</w:t>
      </w:r>
    </w:p>
    <w:p w:rsidR="00A27350" w:rsidRPr="00836576" w:rsidRDefault="00D63F34" w:rsidP="00905113">
      <w:pPr>
        <w:pStyle w:val="PlainText"/>
        <w:numPr>
          <w:ilvl w:val="2"/>
          <w:numId w:val="4"/>
        </w:numPr>
        <w:rPr>
          <w:rStyle w:val="Hyperlink"/>
          <w:color w:val="auto"/>
          <w:u w:val="none"/>
        </w:rPr>
      </w:pPr>
      <w:hyperlink r:id="rId6" w:history="1">
        <w:r w:rsidR="00905113" w:rsidRPr="00EE335D">
          <w:rPr>
            <w:rStyle w:val="Hyperlink"/>
          </w:rPr>
          <w:t>https://lists.oasis-open.org/archives/legalxml-courtfiling-comment/201311/msg00000.html</w:t>
        </w:r>
      </w:hyperlink>
    </w:p>
    <w:p w:rsidR="00836576" w:rsidRDefault="00836576" w:rsidP="00836576">
      <w:pPr>
        <w:pStyle w:val="PlainText"/>
      </w:pPr>
      <w:r>
        <w:t>We owe several responses back to Springboard by the end of this month.</w:t>
      </w:r>
    </w:p>
    <w:p w:rsidR="00836576" w:rsidRDefault="00836576" w:rsidP="00836576">
      <w:pPr>
        <w:pStyle w:val="PlainText"/>
      </w:pPr>
    </w:p>
    <w:p w:rsidR="00956F69" w:rsidRDefault="00956F69" w:rsidP="00956F69">
      <w:pPr>
        <w:pStyle w:val="PlainText"/>
        <w:numPr>
          <w:ilvl w:val="1"/>
          <w:numId w:val="4"/>
        </w:numPr>
      </w:pPr>
      <w:r>
        <w:t>Pending decisions by the TC, Springboard has been working under the following assumptions:</w:t>
      </w:r>
    </w:p>
    <w:p w:rsidR="00956F69" w:rsidRPr="00956F69" w:rsidRDefault="00956F69" w:rsidP="00956F69">
      <w:pPr>
        <w:pStyle w:val="PlainText"/>
        <w:ind w:left="1440"/>
        <w:rPr>
          <w:sz w:val="20"/>
          <w:szCs w:val="20"/>
        </w:rPr>
      </w:pPr>
    </w:p>
    <w:tbl>
      <w:tblPr>
        <w:tblW w:w="0" w:type="auto"/>
        <w:tblCellMar>
          <w:left w:w="0" w:type="dxa"/>
          <w:right w:w="0" w:type="dxa"/>
        </w:tblCellMar>
        <w:tblLook w:val="04A0" w:firstRow="1" w:lastRow="0" w:firstColumn="1" w:lastColumn="0" w:noHBand="0" w:noVBand="1"/>
      </w:tblPr>
      <w:tblGrid>
        <w:gridCol w:w="2214"/>
        <w:gridCol w:w="7356"/>
      </w:tblGrid>
      <w:tr w:rsidR="00956F69" w:rsidRPr="00956F69" w:rsidTr="00956F69">
        <w:tc>
          <w:tcPr>
            <w:tcW w:w="0" w:type="auto"/>
            <w:tcBorders>
              <w:top w:val="single" w:sz="8" w:space="0" w:color="000000"/>
              <w:left w:val="single" w:sz="8" w:space="0" w:color="000000"/>
              <w:bottom w:val="single" w:sz="8" w:space="0" w:color="000000"/>
              <w:right w:val="single" w:sz="8" w:space="0" w:color="000000"/>
            </w:tcBorders>
            <w:shd w:val="clear" w:color="auto" w:fill="4472C4"/>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b/>
                <w:bCs/>
                <w:color w:val="FFFFFF"/>
                <w:sz w:val="20"/>
                <w:szCs w:val="20"/>
              </w:rPr>
              <w:t>Title</w:t>
            </w:r>
          </w:p>
        </w:tc>
        <w:tc>
          <w:tcPr>
            <w:tcW w:w="0" w:type="auto"/>
            <w:tcBorders>
              <w:top w:val="single" w:sz="8" w:space="0" w:color="auto"/>
              <w:left w:val="nil"/>
              <w:bottom w:val="single" w:sz="8" w:space="0" w:color="auto"/>
              <w:right w:val="single" w:sz="8" w:space="0" w:color="auto"/>
            </w:tcBorders>
            <w:shd w:val="clear" w:color="auto" w:fill="4472C4"/>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b/>
                <w:bCs/>
                <w:color w:val="FFFFFF"/>
                <w:sz w:val="20"/>
                <w:szCs w:val="20"/>
              </w:rPr>
              <w:t>Disposition</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Issues</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Calibri" w:eastAsia="Times New Roman" w:hAnsi="Calibri" w:cs="Times New Roman"/>
                <w:sz w:val="20"/>
                <w:szCs w:val="20"/>
              </w:rPr>
            </w:pP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I-1.  Package Structure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We have obtained the clarification necessary, so we are able to continue the Springboard test tool design &amp; implementation.</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I-2.  WSDL Validation</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The suggested revision has been addressed in the ECF v4.01 Errata 01, Working Draft 01, dated 15 October 2013.</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lastRenderedPageBreak/>
              <w:t>I-3.  Document Reference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We have obtained the clarification necessary, so we are able to continue the Springboard test tool design &amp; implementation.</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I-4.  Schema Encoding</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The suggested revision has been addressed in the ECF v4.01 Errata 01, Working Draft 01, dated 15 October 2013.</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I-5.  Juvenile Reference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The suggested revision has been addressed in the ECF v4.01 Errata 01, Working Draft 01, dated 15 October 2013.</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I-6.  Inconsistent WS-RM Standards</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In lieu of any other guidance, we presume that the use of the latest specification was intended.  Therefore, the Springboard project will proceed with WS-Reliable Messaging v1.1.</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Addressed in Errata</w:t>
            </w:r>
            <w:proofErr w:type="gramStart"/>
            <w:r w:rsidR="00836576">
              <w:rPr>
                <w:rFonts w:ascii="Calibri" w:eastAsia="Times New Roman" w:hAnsi="Calibri" w:cs="Times New Roman"/>
                <w:b/>
                <w:color w:val="000000"/>
                <w:sz w:val="20"/>
                <w:szCs w:val="20"/>
              </w:rPr>
              <w:t>??</w:t>
            </w:r>
            <w:r w:rsidR="00836576" w:rsidRPr="00836576">
              <w:rPr>
                <w:rFonts w:ascii="Calibri" w:eastAsia="Times New Roman" w:hAnsi="Calibri" w:cs="Times New Roman"/>
                <w:b/>
                <w:color w:val="000000"/>
                <w:sz w:val="20"/>
                <w:szCs w:val="20"/>
              </w:rPr>
              <w:t>.</w:t>
            </w:r>
            <w:proofErr w:type="gramEnd"/>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I-7.  Invalid Sample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We have obtained the clarification necessary, so we are able to continue the Springboard test tool design &amp; implementation.</w:t>
            </w:r>
            <w:r w:rsidR="00836576">
              <w:rPr>
                <w:rFonts w:ascii="Calibri" w:eastAsia="Times New Roman" w:hAnsi="Calibri" w:cs="Times New Roman"/>
                <w:color w:val="000000"/>
                <w:sz w:val="20"/>
                <w:szCs w:val="20"/>
              </w:rPr>
              <w:t xml:space="preserve"> </w:t>
            </w:r>
            <w:r w:rsidR="00836576" w:rsidRPr="00836576">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I-8.  Incorrect Parameter Reference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3568D8" w:rsidRPr="00D63F34" w:rsidRDefault="00956F69" w:rsidP="00D63F34">
            <w:pPr>
              <w:spacing w:after="0" w:line="240" w:lineRule="auto"/>
              <w:rPr>
                <w:rFonts w:ascii="Calibri" w:eastAsia="Times New Roman" w:hAnsi="Calibri" w:cs="Times New Roman"/>
                <w:b/>
                <w:color w:val="000000"/>
                <w:sz w:val="20"/>
                <w:szCs w:val="20"/>
              </w:rPr>
            </w:pPr>
            <w:r w:rsidRPr="00956F69">
              <w:rPr>
                <w:rFonts w:ascii="Calibri" w:eastAsia="Times New Roman" w:hAnsi="Calibri" w:cs="Times New Roman"/>
                <w:color w:val="000000"/>
                <w:sz w:val="20"/>
                <w:szCs w:val="20"/>
              </w:rPr>
              <w:t xml:space="preserve">In lieu of any other guidance, we presume that the parameters </w:t>
            </w:r>
            <w:proofErr w:type="spellStart"/>
            <w:r w:rsidRPr="00956F69">
              <w:rPr>
                <w:rFonts w:ascii="Calibri" w:eastAsia="Times New Roman" w:hAnsi="Calibri" w:cs="Times New Roman"/>
                <w:color w:val="000000"/>
                <w:sz w:val="20"/>
                <w:szCs w:val="20"/>
              </w:rPr>
              <w:t>CoreFilingMessage</w:t>
            </w:r>
            <w:proofErr w:type="spellEnd"/>
            <w:r w:rsidRPr="00956F69">
              <w:rPr>
                <w:rFonts w:ascii="Calibri" w:eastAsia="Times New Roman" w:hAnsi="Calibri" w:cs="Times New Roman"/>
                <w:color w:val="000000"/>
                <w:sz w:val="20"/>
                <w:szCs w:val="20"/>
              </w:rPr>
              <w:t xml:space="preserve"> and </w:t>
            </w:r>
            <w:proofErr w:type="spellStart"/>
            <w:r w:rsidRPr="00956F69">
              <w:rPr>
                <w:rFonts w:ascii="Calibri" w:eastAsia="Times New Roman" w:hAnsi="Calibri" w:cs="Times New Roman"/>
                <w:color w:val="000000"/>
                <w:sz w:val="20"/>
                <w:szCs w:val="20"/>
              </w:rPr>
              <w:t>PaymentMessage</w:t>
            </w:r>
            <w:proofErr w:type="spellEnd"/>
            <w:r w:rsidRPr="00956F69">
              <w:rPr>
                <w:rFonts w:ascii="Calibri" w:eastAsia="Times New Roman" w:hAnsi="Calibri" w:cs="Times New Roman"/>
                <w:color w:val="000000"/>
                <w:sz w:val="20"/>
                <w:szCs w:val="20"/>
              </w:rPr>
              <w:t xml:space="preserve"> are both optional.</w:t>
            </w:r>
            <w:r w:rsidR="00836576">
              <w:rPr>
                <w:rFonts w:ascii="Calibri" w:eastAsia="Times New Roman" w:hAnsi="Calibri" w:cs="Times New Roman"/>
                <w:color w:val="000000"/>
                <w:sz w:val="20"/>
                <w:szCs w:val="20"/>
              </w:rPr>
              <w:t xml:space="preserve">  </w:t>
            </w:r>
            <w:r w:rsidR="003568D8">
              <w:rPr>
                <w:rFonts w:ascii="Calibri" w:eastAsia="Times New Roman" w:hAnsi="Calibri" w:cs="Times New Roman"/>
                <w:b/>
                <w:color w:val="000000"/>
                <w:sz w:val="20"/>
                <w:szCs w:val="20"/>
              </w:rPr>
              <w:t xml:space="preserve">We all agree that </w:t>
            </w:r>
            <w:r w:rsidR="00D63F34">
              <w:rPr>
                <w:rFonts w:ascii="Calibri" w:eastAsia="Times New Roman" w:hAnsi="Calibri" w:cs="Times New Roman"/>
                <w:b/>
                <w:color w:val="000000"/>
                <w:sz w:val="20"/>
                <w:szCs w:val="20"/>
              </w:rPr>
              <w:t xml:space="preserve">the </w:t>
            </w:r>
            <w:bookmarkStart w:id="0" w:name="_GoBack"/>
            <w:bookmarkEnd w:id="0"/>
            <w:r w:rsidR="003568D8">
              <w:rPr>
                <w:rFonts w:ascii="Calibri" w:eastAsia="Times New Roman" w:hAnsi="Calibri" w:cs="Times New Roman"/>
                <w:b/>
                <w:color w:val="000000"/>
                <w:sz w:val="20"/>
                <w:szCs w:val="20"/>
              </w:rPr>
              <w:t>payment message is optional</w:t>
            </w:r>
            <w:r w:rsidR="00D63F34">
              <w:rPr>
                <w:rFonts w:ascii="Calibri" w:eastAsia="Times New Roman" w:hAnsi="Calibri" w:cs="Times New Roman"/>
                <w:b/>
                <w:color w:val="000000"/>
                <w:sz w:val="20"/>
                <w:szCs w:val="20"/>
              </w:rPr>
              <w:t xml:space="preserve"> and the non-normative sections of the core specification need to </w:t>
            </w:r>
            <w:proofErr w:type="gramStart"/>
            <w:r w:rsidR="00D63F34">
              <w:rPr>
                <w:rFonts w:ascii="Calibri" w:eastAsia="Times New Roman" w:hAnsi="Calibri" w:cs="Times New Roman"/>
                <w:b/>
                <w:color w:val="000000"/>
                <w:sz w:val="20"/>
                <w:szCs w:val="20"/>
              </w:rPr>
              <w:t>updated</w:t>
            </w:r>
            <w:proofErr w:type="gramEnd"/>
            <w:r w:rsidR="003568D8">
              <w:rPr>
                <w:rFonts w:ascii="Calibri" w:eastAsia="Times New Roman" w:hAnsi="Calibri" w:cs="Times New Roman"/>
                <w:b/>
                <w:color w:val="000000"/>
                <w:sz w:val="20"/>
                <w:szCs w:val="20"/>
              </w:rPr>
              <w:t xml:space="preserve">. </w:t>
            </w:r>
            <w:r w:rsidR="00D63F34">
              <w:rPr>
                <w:rFonts w:ascii="Calibri" w:eastAsia="Times New Roman" w:hAnsi="Calibri" w:cs="Times New Roman"/>
                <w:b/>
                <w:color w:val="000000"/>
                <w:sz w:val="20"/>
                <w:szCs w:val="20"/>
              </w:rPr>
              <w:t xml:space="preserve">We debated whether the container for both messages should be defined in the core spec (e.g., always via XML schema) or in the SIPs (e.g., via WSDL in WS SIP and XML </w:t>
            </w:r>
            <w:proofErr w:type="gramStart"/>
            <w:r w:rsidR="00D63F34">
              <w:rPr>
                <w:rFonts w:ascii="Calibri" w:eastAsia="Times New Roman" w:hAnsi="Calibri" w:cs="Times New Roman"/>
                <w:b/>
                <w:color w:val="000000"/>
                <w:sz w:val="20"/>
                <w:szCs w:val="20"/>
              </w:rPr>
              <w:t>schema  n</w:t>
            </w:r>
            <w:proofErr w:type="gramEnd"/>
            <w:r w:rsidR="00D63F34">
              <w:rPr>
                <w:rFonts w:ascii="Calibri" w:eastAsia="Times New Roman" w:hAnsi="Calibri" w:cs="Times New Roman"/>
                <w:b/>
                <w:color w:val="000000"/>
                <w:sz w:val="20"/>
                <w:szCs w:val="20"/>
              </w:rPr>
              <w:t xml:space="preserve"> the MQ SIP ). </w:t>
            </w:r>
            <w:r w:rsidR="003568D8">
              <w:rPr>
                <w:rFonts w:ascii="Calibri" w:eastAsia="Times New Roman" w:hAnsi="Calibri" w:cs="Times New Roman"/>
                <w:b/>
                <w:color w:val="000000"/>
                <w:sz w:val="20"/>
                <w:szCs w:val="20"/>
              </w:rPr>
              <w:t>This item was not resolved completely.</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I-9.  Requirement Typo</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In lieu of any other guidance, we presume the “typo” was correctly identified and will be resolved in a future version.</w:t>
            </w:r>
            <w:r w:rsidR="003568D8">
              <w:rPr>
                <w:rFonts w:ascii="Calibri" w:eastAsia="Times New Roman" w:hAnsi="Calibri" w:cs="Times New Roman"/>
                <w:color w:val="000000"/>
                <w:sz w:val="20"/>
                <w:szCs w:val="20"/>
              </w:rPr>
              <w:t xml:space="preserve"> </w:t>
            </w:r>
            <w:r w:rsidR="003568D8" w:rsidRPr="003568D8">
              <w:rPr>
                <w:rFonts w:ascii="Calibri" w:eastAsia="Times New Roman" w:hAnsi="Calibri" w:cs="Times New Roman"/>
                <w:b/>
                <w:color w:val="000000"/>
                <w:sz w:val="20"/>
                <w:szCs w:val="20"/>
              </w:rPr>
              <w:t>Typo</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I-10.  Error Handling</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Default="00956F69" w:rsidP="00956F69">
            <w:pPr>
              <w:spacing w:after="0" w:line="240" w:lineRule="auto"/>
              <w:rPr>
                <w:rFonts w:ascii="Calibri" w:eastAsia="Times New Roman" w:hAnsi="Calibri" w:cs="Times New Roman"/>
                <w:color w:val="000000"/>
                <w:sz w:val="20"/>
                <w:szCs w:val="20"/>
              </w:rPr>
            </w:pPr>
            <w:r w:rsidRPr="00956F69">
              <w:rPr>
                <w:rFonts w:ascii="Calibri" w:eastAsia="Times New Roman" w:hAnsi="Calibri" w:cs="Times New Roman"/>
                <w:color w:val="000000"/>
                <w:sz w:val="20"/>
                <w:szCs w:val="20"/>
              </w:rPr>
              <w:t>In lieu of any other guidance, we presume the ECF WS SIP will be revised to indicate the use of SOAP faults to communicate error information between web service exchange partners. As a result, the Springboard test suite will verify success criteria based on the presence of fault conditions in the message exchange.</w:t>
            </w:r>
          </w:p>
          <w:p w:rsidR="003568D8" w:rsidRPr="003568D8" w:rsidRDefault="003568D8" w:rsidP="00956F69">
            <w:pPr>
              <w:spacing w:after="0" w:line="240" w:lineRule="auto"/>
              <w:rPr>
                <w:rFonts w:ascii="Times New Roman" w:eastAsia="Times New Roman" w:hAnsi="Times New Roman" w:cs="Times New Roman"/>
                <w:b/>
                <w:sz w:val="20"/>
                <w:szCs w:val="20"/>
              </w:rPr>
            </w:pPr>
            <w:r w:rsidRPr="003568D8">
              <w:rPr>
                <w:rFonts w:ascii="Calibri" w:eastAsia="Times New Roman" w:hAnsi="Calibri" w:cs="Times New Roman"/>
                <w:b/>
                <w:color w:val="000000"/>
                <w:sz w:val="20"/>
                <w:szCs w:val="20"/>
              </w:rPr>
              <w:t>This needs to be reported as a SOAP Fault, accept their suggestion.</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Observations</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Calibri" w:eastAsia="Times New Roman" w:hAnsi="Calibri" w:cs="Times New Roman"/>
                <w:sz w:val="20"/>
                <w:szCs w:val="20"/>
              </w:rPr>
            </w:pP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O-1.  Optional Interoperability?</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3568D8" w:rsidRPr="003568D8" w:rsidRDefault="00956F69" w:rsidP="00956F69">
            <w:pPr>
              <w:spacing w:after="0" w:line="240" w:lineRule="auto"/>
              <w:rPr>
                <w:rFonts w:ascii="Calibri" w:eastAsia="Times New Roman" w:hAnsi="Calibri" w:cs="Times New Roman"/>
                <w:color w:val="000000"/>
                <w:sz w:val="20"/>
                <w:szCs w:val="20"/>
              </w:rPr>
            </w:pPr>
            <w:r w:rsidRPr="00956F69">
              <w:rPr>
                <w:rFonts w:ascii="Calibri" w:eastAsia="Times New Roman" w:hAnsi="Calibri" w:cs="Times New Roman"/>
                <w:color w:val="000000"/>
                <w:sz w:val="20"/>
                <w:szCs w:val="20"/>
              </w:rPr>
              <w:t xml:space="preserve">We understand that the ECF working group overtly decided that the specification should maintain maximum flexibility as a core objective of the specification.  Therefore, the Springboard project will determine a test strategy </w:t>
            </w:r>
            <w:r w:rsidR="003568D8" w:rsidRPr="00956F69">
              <w:rPr>
                <w:rFonts w:ascii="Calibri" w:eastAsia="Times New Roman" w:hAnsi="Calibri" w:cs="Times New Roman"/>
                <w:color w:val="000000"/>
                <w:sz w:val="20"/>
                <w:szCs w:val="20"/>
              </w:rPr>
              <w:t>that for</w:t>
            </w:r>
            <w:r w:rsidRPr="00956F69">
              <w:rPr>
                <w:rFonts w:ascii="Calibri" w:eastAsia="Times New Roman" w:hAnsi="Calibri" w:cs="Times New Roman"/>
                <w:color w:val="000000"/>
                <w:sz w:val="20"/>
                <w:szCs w:val="20"/>
              </w:rPr>
              <w:t xml:space="preserve"> each optional service interaction component specification.</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O-2.  Must and/or May?</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Consistent with the “O-1.  Optional Interoperability?” disposition above, we understand that the intention of the specification was to convey the service interaction components as optional.</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O-3.  Simplify Requirements</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We have obtained the clarification necessary, so we are able to continue the Springboard test tool design &amp; implementation.</w:t>
            </w:r>
            <w:r w:rsidR="003568D8">
              <w:rPr>
                <w:rFonts w:ascii="Calibri" w:eastAsia="Times New Roman" w:hAnsi="Calibri" w:cs="Times New Roman"/>
                <w:color w:val="000000"/>
                <w:sz w:val="20"/>
                <w:szCs w:val="20"/>
              </w:rPr>
              <w:t xml:space="preserve"> </w:t>
            </w:r>
            <w:r w:rsidR="003568D8" w:rsidRPr="003568D8">
              <w:rPr>
                <w:rFonts w:ascii="Calibri" w:eastAsia="Times New Roman" w:hAnsi="Calibri" w:cs="Times New Roman"/>
                <w:b/>
                <w:color w:val="000000"/>
                <w:sz w:val="20"/>
                <w:szCs w:val="20"/>
              </w:rPr>
              <w:t>Clarified</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O-4.  Binary Encoding</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jc w:val="both"/>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In lieu of any other guidance, we presume the ECF Technical Working Group will update the specification to change the use of MTOM encoding to NIEM-compliant base64 encoding, which is built into the XML specification, and provides a consistent mechanism for binary encoding and transport across all SIPs.</w:t>
            </w:r>
          </w:p>
          <w:p w:rsidR="00956F69" w:rsidRDefault="00956F69" w:rsidP="00956F69">
            <w:pPr>
              <w:spacing w:after="0" w:line="240" w:lineRule="auto"/>
              <w:rPr>
                <w:rFonts w:ascii="Calibri" w:eastAsia="Times New Roman" w:hAnsi="Calibri" w:cs="Times New Roman"/>
                <w:color w:val="000000"/>
                <w:sz w:val="20"/>
                <w:szCs w:val="20"/>
              </w:rPr>
            </w:pPr>
            <w:r w:rsidRPr="00956F69">
              <w:rPr>
                <w:rFonts w:ascii="Calibri" w:eastAsia="Times New Roman" w:hAnsi="Calibri" w:cs="Times New Roman"/>
                <w:color w:val="000000"/>
                <w:sz w:val="20"/>
                <w:szCs w:val="20"/>
              </w:rPr>
              <w:t>The binary document “attachments” will be stored using the “</w:t>
            </w:r>
            <w:proofErr w:type="spellStart"/>
            <w:r w:rsidRPr="00956F69">
              <w:rPr>
                <w:rFonts w:ascii="Calibri" w:eastAsia="Times New Roman" w:hAnsi="Calibri" w:cs="Times New Roman"/>
                <w:color w:val="000000"/>
                <w:sz w:val="20"/>
                <w:szCs w:val="20"/>
              </w:rPr>
              <w:t>DocumentType</w:t>
            </w:r>
            <w:proofErr w:type="spellEnd"/>
            <w:r w:rsidRPr="00956F69">
              <w:rPr>
                <w:rFonts w:ascii="Calibri" w:eastAsia="Times New Roman" w:hAnsi="Calibri" w:cs="Times New Roman"/>
                <w:color w:val="000000"/>
                <w:sz w:val="20"/>
                <w:szCs w:val="20"/>
              </w:rPr>
              <w:t>” in the “ECF-4.0-CommonTypes.xsd” schema.</w:t>
            </w:r>
          </w:p>
          <w:p w:rsidR="003568D8" w:rsidRPr="003568D8" w:rsidRDefault="00D63F34" w:rsidP="00D63F34">
            <w:pPr>
              <w:spacing w:after="0" w:line="240" w:lineRule="auto"/>
              <w:rPr>
                <w:rFonts w:ascii="Times New Roman" w:eastAsia="Times New Roman" w:hAnsi="Times New Roman" w:cs="Times New Roman"/>
                <w:b/>
                <w:sz w:val="20"/>
                <w:szCs w:val="20"/>
              </w:rPr>
            </w:pPr>
            <w:r>
              <w:rPr>
                <w:rFonts w:ascii="Calibri" w:eastAsia="Times New Roman" w:hAnsi="Calibri" w:cs="Times New Roman"/>
                <w:b/>
                <w:color w:val="000000"/>
                <w:sz w:val="20"/>
                <w:szCs w:val="20"/>
              </w:rPr>
              <w:t xml:space="preserve">Support for encoding and embedding binary information will be deprecated and, in </w:t>
            </w:r>
            <w:r>
              <w:rPr>
                <w:rFonts w:ascii="Calibri" w:eastAsia="Times New Roman" w:hAnsi="Calibri" w:cs="Times New Roman"/>
                <w:b/>
                <w:color w:val="000000"/>
                <w:sz w:val="20"/>
                <w:szCs w:val="20"/>
              </w:rPr>
              <w:lastRenderedPageBreak/>
              <w:t xml:space="preserve">future versions, removed from the core specification and left for the SIPs to define.  In the WS SIP, </w:t>
            </w:r>
            <w:r w:rsidR="003568D8" w:rsidRPr="003568D8">
              <w:rPr>
                <w:rFonts w:ascii="Calibri" w:eastAsia="Times New Roman" w:hAnsi="Calibri" w:cs="Times New Roman"/>
                <w:b/>
                <w:color w:val="000000"/>
                <w:sz w:val="20"/>
                <w:szCs w:val="20"/>
              </w:rPr>
              <w:t xml:space="preserve">we </w:t>
            </w:r>
            <w:r>
              <w:rPr>
                <w:rFonts w:ascii="Calibri" w:eastAsia="Times New Roman" w:hAnsi="Calibri" w:cs="Times New Roman"/>
                <w:b/>
                <w:color w:val="000000"/>
                <w:sz w:val="20"/>
                <w:szCs w:val="20"/>
              </w:rPr>
              <w:t xml:space="preserve">will continue to support </w:t>
            </w:r>
            <w:r w:rsidR="003568D8" w:rsidRPr="003568D8">
              <w:rPr>
                <w:rFonts w:ascii="Calibri" w:eastAsia="Times New Roman" w:hAnsi="Calibri" w:cs="Times New Roman"/>
                <w:b/>
                <w:color w:val="000000"/>
                <w:sz w:val="20"/>
                <w:szCs w:val="20"/>
              </w:rPr>
              <w:t>MTOM encoding.  In a non-SOAP SIP</w:t>
            </w:r>
            <w:r>
              <w:rPr>
                <w:rFonts w:ascii="Calibri" w:eastAsia="Times New Roman" w:hAnsi="Calibri" w:cs="Times New Roman"/>
                <w:b/>
                <w:color w:val="000000"/>
                <w:sz w:val="20"/>
                <w:szCs w:val="20"/>
              </w:rPr>
              <w:t>s, (e.g. MQ SIP)</w:t>
            </w:r>
            <w:r w:rsidR="003568D8" w:rsidRPr="003568D8">
              <w:rPr>
                <w:rFonts w:ascii="Calibri" w:eastAsia="Times New Roman" w:hAnsi="Calibri" w:cs="Times New Roman"/>
                <w:b/>
                <w:color w:val="000000"/>
                <w:sz w:val="20"/>
                <w:szCs w:val="20"/>
              </w:rPr>
              <w:t xml:space="preserve"> we need to define another method.</w:t>
            </w:r>
            <w:r w:rsidR="003B3BEC">
              <w:rPr>
                <w:rFonts w:ascii="Calibri" w:eastAsia="Times New Roman" w:hAnsi="Calibri" w:cs="Times New Roman"/>
                <w:b/>
                <w:color w:val="000000"/>
                <w:sz w:val="20"/>
                <w:szCs w:val="20"/>
              </w:rPr>
              <w:t xml:space="preserve"> </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lastRenderedPageBreak/>
              <w:t>O-5.  Substitution groups</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 xml:space="preserve">We understand that the ECF Technical Working Group is unlikely to use choice instead of substitution groups.  Therefore, the Springboard test utilities will temporarily switch to Choice in order to facilitate request/response validation </w:t>
            </w:r>
            <w:r w:rsidR="003B3BEC" w:rsidRPr="00956F69">
              <w:rPr>
                <w:rFonts w:ascii="Calibri" w:eastAsia="Times New Roman" w:hAnsi="Calibri" w:cs="Times New Roman"/>
                <w:color w:val="000000"/>
                <w:sz w:val="20"/>
                <w:szCs w:val="20"/>
              </w:rPr>
              <w:t>during testing</w:t>
            </w:r>
            <w:r w:rsidRPr="00956F69">
              <w:rPr>
                <w:rFonts w:ascii="Calibri" w:eastAsia="Times New Roman" w:hAnsi="Calibri" w:cs="Times New Roman"/>
                <w:color w:val="000000"/>
                <w:sz w:val="20"/>
                <w:szCs w:val="20"/>
              </w:rPr>
              <w:t>.</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O-6.  GRA Reference</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In lieu of any other guidance, we presume the intention was to use the latest specification.  Therefore, the Springboard project will proceed with the GRA Web-Services Service Interaction Profile v1.3 specification.</w:t>
            </w:r>
          </w:p>
        </w:tc>
      </w:tr>
      <w:tr w:rsidR="00956F69" w:rsidRPr="00956F69" w:rsidTr="00956F69">
        <w:tc>
          <w:tcPr>
            <w:tcW w:w="0" w:type="auto"/>
            <w:tcBorders>
              <w:top w:val="nil"/>
              <w:left w:val="single" w:sz="8" w:space="0" w:color="auto"/>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before="100" w:beforeAutospacing="1" w:after="0" w:line="240" w:lineRule="auto"/>
              <w:ind w:left="340"/>
              <w:rPr>
                <w:rFonts w:ascii="Times New Roman" w:eastAsia="Times New Roman" w:hAnsi="Times New Roman" w:cs="Times New Roman"/>
                <w:sz w:val="20"/>
                <w:szCs w:val="20"/>
              </w:rPr>
            </w:pPr>
            <w:r w:rsidRPr="00956F69">
              <w:rPr>
                <w:rFonts w:ascii="Calibri" w:eastAsia="Times New Roman" w:hAnsi="Calibri" w:cs="Times New Roman"/>
                <w:b/>
                <w:bCs/>
                <w:color w:val="000000"/>
                <w:sz w:val="20"/>
                <w:szCs w:val="20"/>
              </w:rPr>
              <w:t>O-7.  WS-Addressing Not Specified</w:t>
            </w:r>
          </w:p>
        </w:tc>
        <w:tc>
          <w:tcPr>
            <w:tcW w:w="0" w:type="auto"/>
            <w:tcBorders>
              <w:top w:val="nil"/>
              <w:left w:val="nil"/>
              <w:bottom w:val="single" w:sz="8" w:space="0" w:color="auto"/>
              <w:right w:val="single" w:sz="8" w:space="0" w:color="auto"/>
            </w:tcBorders>
            <w:tcMar>
              <w:top w:w="105" w:type="dxa"/>
              <w:left w:w="105" w:type="dxa"/>
              <w:bottom w:w="105" w:type="dxa"/>
              <w:right w:w="105" w:type="dxa"/>
            </w:tcMar>
            <w:hideMark/>
          </w:tcPr>
          <w:p w:rsidR="00956F69" w:rsidRPr="00956F69" w:rsidRDefault="00956F69" w:rsidP="00956F69">
            <w:pPr>
              <w:spacing w:after="0" w:line="240" w:lineRule="auto"/>
              <w:rPr>
                <w:rFonts w:ascii="Times New Roman" w:eastAsia="Times New Roman" w:hAnsi="Times New Roman" w:cs="Times New Roman"/>
                <w:sz w:val="20"/>
                <w:szCs w:val="20"/>
              </w:rPr>
            </w:pPr>
            <w:r w:rsidRPr="00956F69">
              <w:rPr>
                <w:rFonts w:ascii="Calibri" w:eastAsia="Times New Roman" w:hAnsi="Calibri" w:cs="Times New Roman"/>
                <w:color w:val="000000"/>
                <w:sz w:val="20"/>
                <w:szCs w:val="20"/>
              </w:rPr>
              <w:t xml:space="preserve">In lieu of any other guidance, we presume the ECF Technical Working Group will update the service interaction profile to include WS-Addressing as a mechanism to uniquely identify MDE addresses.  The WS-Addressing information should be consistent with the </w:t>
            </w:r>
            <w:proofErr w:type="spellStart"/>
            <w:r w:rsidRPr="00956F69">
              <w:rPr>
                <w:rFonts w:ascii="Calibri" w:eastAsia="Times New Roman" w:hAnsi="Calibri" w:cs="Times New Roman"/>
                <w:color w:val="000000"/>
                <w:sz w:val="20"/>
                <w:szCs w:val="20"/>
              </w:rPr>
              <w:t>ReceivingMDELocationID</w:t>
            </w:r>
            <w:proofErr w:type="spellEnd"/>
            <w:r w:rsidRPr="00956F69">
              <w:rPr>
                <w:rFonts w:ascii="Calibri" w:eastAsia="Times New Roman" w:hAnsi="Calibri" w:cs="Times New Roman"/>
                <w:color w:val="000000"/>
                <w:sz w:val="20"/>
                <w:szCs w:val="20"/>
              </w:rPr>
              <w:t xml:space="preserve"> and </w:t>
            </w:r>
            <w:proofErr w:type="spellStart"/>
            <w:r w:rsidRPr="00956F69">
              <w:rPr>
                <w:rFonts w:ascii="Calibri" w:eastAsia="Times New Roman" w:hAnsi="Calibri" w:cs="Times New Roman"/>
                <w:color w:val="000000"/>
                <w:sz w:val="20"/>
                <w:szCs w:val="20"/>
              </w:rPr>
              <w:t>SendingMDELocationID</w:t>
            </w:r>
            <w:proofErr w:type="spellEnd"/>
            <w:r w:rsidRPr="00956F69">
              <w:rPr>
                <w:rFonts w:ascii="Calibri" w:eastAsia="Times New Roman" w:hAnsi="Calibri" w:cs="Times New Roman"/>
                <w:color w:val="000000"/>
                <w:sz w:val="20"/>
                <w:szCs w:val="20"/>
              </w:rPr>
              <w:t xml:space="preserve"> elements.</w:t>
            </w:r>
          </w:p>
        </w:tc>
      </w:tr>
    </w:tbl>
    <w:p w:rsidR="00956F69" w:rsidRDefault="00956F69" w:rsidP="00956F69">
      <w:pPr>
        <w:pStyle w:val="PlainText"/>
        <w:ind w:left="1440"/>
      </w:pPr>
    </w:p>
    <w:p w:rsidR="00D517FC" w:rsidRDefault="00B31CA8" w:rsidP="00D517FC">
      <w:pPr>
        <w:pStyle w:val="PlainText"/>
        <w:numPr>
          <w:ilvl w:val="0"/>
          <w:numId w:val="4"/>
        </w:numPr>
      </w:pPr>
      <w:r>
        <w:t xml:space="preserve">ECF </w:t>
      </w:r>
      <w:r w:rsidR="00C3770F">
        <w:t>5.0</w:t>
      </w:r>
      <w:r w:rsidR="00EA57DF">
        <w:t xml:space="preserve"> Core Specification</w:t>
      </w:r>
    </w:p>
    <w:p w:rsidR="00D517FC" w:rsidRDefault="00434891" w:rsidP="00FB3ADC">
      <w:pPr>
        <w:pStyle w:val="PlainText"/>
        <w:numPr>
          <w:ilvl w:val="1"/>
          <w:numId w:val="4"/>
        </w:numPr>
      </w:pPr>
      <w:r>
        <w:t>Current: Working Draft 01</w:t>
      </w:r>
    </w:p>
    <w:p w:rsidR="00434891" w:rsidRDefault="00D63F34" w:rsidP="00434891">
      <w:pPr>
        <w:pStyle w:val="PlainText"/>
        <w:numPr>
          <w:ilvl w:val="2"/>
          <w:numId w:val="4"/>
        </w:numPr>
      </w:pPr>
      <w:hyperlink r:id="rId7" w:history="1">
        <w:r w:rsidR="00434891" w:rsidRPr="00B42922">
          <w:rPr>
            <w:rStyle w:val="Hyperlink"/>
          </w:rPr>
          <w:t>https://www.oasis-open.org/apps/org/workgroup/legalxml-courtfiling/download.php/50778/ecf-v5.0-spec-wd01.docx</w:t>
        </w:r>
      </w:hyperlink>
      <w:r w:rsidR="00434891">
        <w:t xml:space="preserve"> </w:t>
      </w:r>
    </w:p>
    <w:p w:rsidR="00EA57DF" w:rsidRDefault="00434891" w:rsidP="00FB3ADC">
      <w:pPr>
        <w:pStyle w:val="PlainText"/>
        <w:numPr>
          <w:ilvl w:val="1"/>
          <w:numId w:val="4"/>
        </w:numPr>
      </w:pPr>
      <w:r>
        <w:t>Change Log:</w:t>
      </w:r>
    </w:p>
    <w:p w:rsidR="00434891" w:rsidRDefault="00D63F34" w:rsidP="00434891">
      <w:pPr>
        <w:pStyle w:val="PlainText"/>
        <w:numPr>
          <w:ilvl w:val="2"/>
          <w:numId w:val="4"/>
        </w:numPr>
      </w:pPr>
      <w:hyperlink r:id="rId8" w:history="1">
        <w:r w:rsidR="00434891" w:rsidRPr="00B42922">
          <w:rPr>
            <w:rStyle w:val="Hyperlink"/>
          </w:rPr>
          <w:t>https://www.oasis-open.org/apps/org/workgroup/legalxml-courtfiling/download.php/50779/Change%20Log.doc</w:t>
        </w:r>
      </w:hyperlink>
      <w:r w:rsidR="00434891">
        <w:t xml:space="preserve"> </w:t>
      </w:r>
    </w:p>
    <w:p w:rsidR="00434891" w:rsidRDefault="00CD6C7E" w:rsidP="00434891">
      <w:pPr>
        <w:pStyle w:val="PlainText"/>
        <w:numPr>
          <w:ilvl w:val="1"/>
          <w:numId w:val="4"/>
        </w:numPr>
      </w:pPr>
      <w:r>
        <w:t>Action items</w:t>
      </w:r>
    </w:p>
    <w:p w:rsidR="00CD6C7E" w:rsidRDefault="00D63F34" w:rsidP="00CD6C7E">
      <w:pPr>
        <w:pStyle w:val="PlainText"/>
        <w:numPr>
          <w:ilvl w:val="2"/>
          <w:numId w:val="4"/>
        </w:numPr>
      </w:pPr>
      <w:hyperlink r:id="rId9" w:history="1">
        <w:r w:rsidR="00CD6C7E">
          <w:rPr>
            <w:rStyle w:val="Hyperlink"/>
          </w:rPr>
          <w:t>https://www.oasis-open.org/apps/org/workgroup/legalxml-courtfiling/members/action_items.php</w:t>
        </w:r>
      </w:hyperlink>
    </w:p>
    <w:p w:rsidR="00EA57DF" w:rsidRDefault="00EA57DF" w:rsidP="00EA57DF">
      <w:pPr>
        <w:pStyle w:val="PlainText"/>
        <w:ind w:left="720"/>
      </w:pPr>
    </w:p>
    <w:p w:rsidR="00416CA8" w:rsidRDefault="00EA57DF" w:rsidP="00EA57DF">
      <w:pPr>
        <w:pStyle w:val="PlainText"/>
        <w:numPr>
          <w:ilvl w:val="0"/>
          <w:numId w:val="4"/>
        </w:numPr>
      </w:pPr>
      <w:r>
        <w:t>ECF WS SIP 2.01 updates</w:t>
      </w:r>
    </w:p>
    <w:p w:rsidR="00EA57DF" w:rsidRDefault="00905113" w:rsidP="00EA57DF">
      <w:pPr>
        <w:pStyle w:val="PlainText"/>
        <w:numPr>
          <w:ilvl w:val="1"/>
          <w:numId w:val="4"/>
        </w:numPr>
      </w:pPr>
      <w:r>
        <w:t xml:space="preserve">Jim Harris and Jim Cabral </w:t>
      </w:r>
      <w:r w:rsidR="00EA57DF">
        <w:t>update</w:t>
      </w:r>
      <w:r>
        <w:t>d</w:t>
      </w:r>
      <w:r w:rsidR="00EA57DF">
        <w:t xml:space="preserve"> the SIP with changes discussed at the Sep F2F.</w:t>
      </w:r>
    </w:p>
    <w:p w:rsidR="00085F38" w:rsidRDefault="00EA57DF" w:rsidP="00CD6C7E">
      <w:pPr>
        <w:pStyle w:val="PlainText"/>
        <w:numPr>
          <w:ilvl w:val="1"/>
          <w:numId w:val="4"/>
        </w:numPr>
      </w:pPr>
      <w:r>
        <w:t xml:space="preserve">We will </w:t>
      </w:r>
      <w:r w:rsidR="00870A4D">
        <w:t>issue the approved changes as errata.</w:t>
      </w:r>
    </w:p>
    <w:p w:rsidR="00CD6C7E" w:rsidRDefault="00CD6C7E" w:rsidP="00CD6C7E">
      <w:pPr>
        <w:pStyle w:val="PlainText"/>
        <w:ind w:left="1440"/>
      </w:pPr>
    </w:p>
    <w:p w:rsidR="00DB09F2" w:rsidRDefault="00DB09F2" w:rsidP="00464BB7">
      <w:pPr>
        <w:pStyle w:val="ListParagraph"/>
        <w:numPr>
          <w:ilvl w:val="0"/>
          <w:numId w:val="4"/>
        </w:numPr>
      </w:pPr>
      <w:r>
        <w:t>Action Items</w:t>
      </w:r>
    </w:p>
    <w:p w:rsidR="00DB09F2" w:rsidRDefault="00DB09F2" w:rsidP="00DB09F2">
      <w:pPr>
        <w:pStyle w:val="ListParagraph"/>
      </w:pPr>
    </w:p>
    <w:p w:rsidR="00DB09F2" w:rsidRDefault="00DB09F2" w:rsidP="00464BB7">
      <w:pPr>
        <w:pStyle w:val="ListParagraph"/>
        <w:numPr>
          <w:ilvl w:val="0"/>
          <w:numId w:val="4"/>
        </w:numPr>
      </w:pPr>
      <w:r>
        <w:t>Schedule</w:t>
      </w:r>
    </w:p>
    <w:p w:rsidR="00EA5E18" w:rsidRDefault="00DB09F2" w:rsidP="00DB09F2">
      <w:r>
        <w:t xml:space="preserve">Next </w:t>
      </w:r>
      <w:r w:rsidR="00EA5E18">
        <w:t>TC Conferen</w:t>
      </w:r>
      <w:r w:rsidR="00292C62">
        <w:t xml:space="preserve">ce Call: </w:t>
      </w:r>
      <w:r w:rsidR="00870A4D">
        <w:t>February 11</w:t>
      </w:r>
      <w:r w:rsidR="00EA57DF">
        <w:t>, 2013</w:t>
      </w:r>
      <w:r w:rsidR="00292C62">
        <w:t>, 11am –noon EDT / 3pm – 4pm UTC</w:t>
      </w:r>
    </w:p>
    <w:p w:rsidR="00DB09F2" w:rsidRDefault="00EA5E18" w:rsidP="00DB09F2">
      <w:r>
        <w:t>Next TC Face-T</w:t>
      </w:r>
      <w:r w:rsidR="0007404E">
        <w:t xml:space="preserve">o-Face Meeting: </w:t>
      </w:r>
      <w:r w:rsidR="00EA57DF">
        <w:t>July 13-17, 2014</w:t>
      </w:r>
      <w:r>
        <w:t xml:space="preserve"> (</w:t>
      </w:r>
      <w:r w:rsidR="00EA57DF">
        <w:t>Scottsdale, AZ, in conjunction with NACM</w:t>
      </w:r>
      <w:r>
        <w:t>)</w:t>
      </w:r>
    </w:p>
    <w:p w:rsidR="00EA5E18" w:rsidRDefault="00EA5E18" w:rsidP="00DB09F2"/>
    <w:sectPr w:rsidR="00EA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979"/>
    <w:multiLevelType w:val="hybridMultilevel"/>
    <w:tmpl w:val="3FBC8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7BD2"/>
    <w:multiLevelType w:val="hybridMultilevel"/>
    <w:tmpl w:val="7C123290"/>
    <w:lvl w:ilvl="0" w:tplc="04E4DE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82E75"/>
    <w:multiLevelType w:val="hybridMultilevel"/>
    <w:tmpl w:val="6590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02E81"/>
    <w:multiLevelType w:val="hybridMultilevel"/>
    <w:tmpl w:val="B3FA227C"/>
    <w:lvl w:ilvl="0" w:tplc="B5C84D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A10B2"/>
    <w:multiLevelType w:val="hybridMultilevel"/>
    <w:tmpl w:val="87C0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06"/>
    <w:rsid w:val="000360D2"/>
    <w:rsid w:val="0007404E"/>
    <w:rsid w:val="00085F38"/>
    <w:rsid w:val="000C318F"/>
    <w:rsid w:val="00115BDE"/>
    <w:rsid w:val="00145617"/>
    <w:rsid w:val="001A0E06"/>
    <w:rsid w:val="001A6A33"/>
    <w:rsid w:val="001E1E6C"/>
    <w:rsid w:val="002012D7"/>
    <w:rsid w:val="00215389"/>
    <w:rsid w:val="0023789B"/>
    <w:rsid w:val="00244CD6"/>
    <w:rsid w:val="00245AEF"/>
    <w:rsid w:val="0029094A"/>
    <w:rsid w:val="00292C62"/>
    <w:rsid w:val="002C205F"/>
    <w:rsid w:val="002F1847"/>
    <w:rsid w:val="003000EE"/>
    <w:rsid w:val="00355003"/>
    <w:rsid w:val="003568D8"/>
    <w:rsid w:val="0037467D"/>
    <w:rsid w:val="003A4F1E"/>
    <w:rsid w:val="003A798A"/>
    <w:rsid w:val="003B2EA4"/>
    <w:rsid w:val="003B3BEC"/>
    <w:rsid w:val="003F5439"/>
    <w:rsid w:val="00416CA8"/>
    <w:rsid w:val="00434891"/>
    <w:rsid w:val="00464BB7"/>
    <w:rsid w:val="004B0E8F"/>
    <w:rsid w:val="004B10DE"/>
    <w:rsid w:val="004C05FD"/>
    <w:rsid w:val="0052095A"/>
    <w:rsid w:val="00520D18"/>
    <w:rsid w:val="005C09B2"/>
    <w:rsid w:val="005F35C3"/>
    <w:rsid w:val="006010AF"/>
    <w:rsid w:val="00644BB9"/>
    <w:rsid w:val="00687A77"/>
    <w:rsid w:val="006F0EF8"/>
    <w:rsid w:val="00743EDA"/>
    <w:rsid w:val="0075592C"/>
    <w:rsid w:val="00784A7B"/>
    <w:rsid w:val="007B679C"/>
    <w:rsid w:val="007C261B"/>
    <w:rsid w:val="00836576"/>
    <w:rsid w:val="00860FF4"/>
    <w:rsid w:val="008676DC"/>
    <w:rsid w:val="00870A4D"/>
    <w:rsid w:val="00873AF8"/>
    <w:rsid w:val="008A1BF2"/>
    <w:rsid w:val="008E71BF"/>
    <w:rsid w:val="008F40D5"/>
    <w:rsid w:val="00905113"/>
    <w:rsid w:val="009478AB"/>
    <w:rsid w:val="00956F69"/>
    <w:rsid w:val="00970C15"/>
    <w:rsid w:val="0097496D"/>
    <w:rsid w:val="00981809"/>
    <w:rsid w:val="009A6DBD"/>
    <w:rsid w:val="009B087C"/>
    <w:rsid w:val="009B2608"/>
    <w:rsid w:val="009C4F72"/>
    <w:rsid w:val="00A27350"/>
    <w:rsid w:val="00A27AFF"/>
    <w:rsid w:val="00A75439"/>
    <w:rsid w:val="00AF3102"/>
    <w:rsid w:val="00B220AC"/>
    <w:rsid w:val="00B23300"/>
    <w:rsid w:val="00B31CA8"/>
    <w:rsid w:val="00B626AE"/>
    <w:rsid w:val="00B916E9"/>
    <w:rsid w:val="00BA66C8"/>
    <w:rsid w:val="00BB44FE"/>
    <w:rsid w:val="00C03457"/>
    <w:rsid w:val="00C2371B"/>
    <w:rsid w:val="00C3770F"/>
    <w:rsid w:val="00C7709E"/>
    <w:rsid w:val="00CD6C7E"/>
    <w:rsid w:val="00D108EC"/>
    <w:rsid w:val="00D517FC"/>
    <w:rsid w:val="00D63F34"/>
    <w:rsid w:val="00D83255"/>
    <w:rsid w:val="00D83AC1"/>
    <w:rsid w:val="00D92146"/>
    <w:rsid w:val="00DA4AE7"/>
    <w:rsid w:val="00DA4D07"/>
    <w:rsid w:val="00DB09F2"/>
    <w:rsid w:val="00DB24F1"/>
    <w:rsid w:val="00DE6372"/>
    <w:rsid w:val="00E035BE"/>
    <w:rsid w:val="00EA57DF"/>
    <w:rsid w:val="00EA5E18"/>
    <w:rsid w:val="00F013C2"/>
    <w:rsid w:val="00F24744"/>
    <w:rsid w:val="00F77AA8"/>
    <w:rsid w:val="00F9693F"/>
    <w:rsid w:val="00FB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EEBD8-060D-4D19-80A2-14AF8DB4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09F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09F2"/>
    <w:rPr>
      <w:rFonts w:ascii="Calibri" w:hAnsi="Calibri"/>
      <w:szCs w:val="21"/>
    </w:rPr>
  </w:style>
  <w:style w:type="paragraph" w:styleId="ListParagraph">
    <w:name w:val="List Paragraph"/>
    <w:basedOn w:val="Normal"/>
    <w:uiPriority w:val="34"/>
    <w:qFormat/>
    <w:rsid w:val="00DB09F2"/>
    <w:pPr>
      <w:ind w:left="720"/>
      <w:contextualSpacing/>
    </w:pPr>
  </w:style>
  <w:style w:type="character" w:customStyle="1" w:styleId="apple-style-span">
    <w:name w:val="apple-style-span"/>
    <w:basedOn w:val="DefaultParagraphFont"/>
    <w:rsid w:val="00784A7B"/>
  </w:style>
  <w:style w:type="character" w:customStyle="1" w:styleId="apple-converted-space">
    <w:name w:val="apple-converted-space"/>
    <w:basedOn w:val="DefaultParagraphFont"/>
    <w:rsid w:val="00784A7B"/>
  </w:style>
  <w:style w:type="character" w:customStyle="1" w:styleId="gc-cs-link">
    <w:name w:val="gc-cs-link"/>
    <w:basedOn w:val="DefaultParagraphFont"/>
    <w:rsid w:val="00784A7B"/>
  </w:style>
  <w:style w:type="character" w:styleId="Hyperlink">
    <w:name w:val="Hyperlink"/>
    <w:basedOn w:val="DefaultParagraphFont"/>
    <w:uiPriority w:val="99"/>
    <w:unhideWhenUsed/>
    <w:rsid w:val="00784A7B"/>
    <w:rPr>
      <w:color w:val="0000FF" w:themeColor="hyperlink"/>
      <w:u w:val="single"/>
    </w:rPr>
  </w:style>
  <w:style w:type="character" w:customStyle="1" w:styleId="apple-tab-span">
    <w:name w:val="apple-tab-span"/>
    <w:basedOn w:val="DefaultParagraphFont"/>
    <w:rsid w:val="0037467D"/>
  </w:style>
  <w:style w:type="character" w:styleId="FollowedHyperlink">
    <w:name w:val="FollowedHyperlink"/>
    <w:basedOn w:val="DefaultParagraphFont"/>
    <w:uiPriority w:val="99"/>
    <w:semiHidden/>
    <w:unhideWhenUsed/>
    <w:rsid w:val="003A798A"/>
    <w:rPr>
      <w:color w:val="800080" w:themeColor="followedHyperlink"/>
      <w:u w:val="single"/>
    </w:rPr>
  </w:style>
  <w:style w:type="paragraph" w:styleId="NormalWeb">
    <w:name w:val="Normal (Web)"/>
    <w:basedOn w:val="Normal"/>
    <w:uiPriority w:val="99"/>
    <w:semiHidden/>
    <w:unhideWhenUsed/>
    <w:rsid w:val="00956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98049">
      <w:bodyDiv w:val="1"/>
      <w:marLeft w:val="0"/>
      <w:marRight w:val="0"/>
      <w:marTop w:val="0"/>
      <w:marBottom w:val="0"/>
      <w:divBdr>
        <w:top w:val="none" w:sz="0" w:space="0" w:color="auto"/>
        <w:left w:val="none" w:sz="0" w:space="0" w:color="auto"/>
        <w:bottom w:val="none" w:sz="0" w:space="0" w:color="auto"/>
        <w:right w:val="none" w:sz="0" w:space="0" w:color="auto"/>
      </w:divBdr>
    </w:div>
    <w:div w:id="1183320251">
      <w:bodyDiv w:val="1"/>
      <w:marLeft w:val="0"/>
      <w:marRight w:val="0"/>
      <w:marTop w:val="0"/>
      <w:marBottom w:val="0"/>
      <w:divBdr>
        <w:top w:val="none" w:sz="0" w:space="0" w:color="auto"/>
        <w:left w:val="none" w:sz="0" w:space="0" w:color="auto"/>
        <w:bottom w:val="none" w:sz="0" w:space="0" w:color="auto"/>
        <w:right w:val="none" w:sz="0" w:space="0" w:color="auto"/>
      </w:divBdr>
    </w:div>
    <w:div w:id="1184323207">
      <w:bodyDiv w:val="1"/>
      <w:marLeft w:val="0"/>
      <w:marRight w:val="0"/>
      <w:marTop w:val="0"/>
      <w:marBottom w:val="0"/>
      <w:divBdr>
        <w:top w:val="none" w:sz="0" w:space="0" w:color="auto"/>
        <w:left w:val="none" w:sz="0" w:space="0" w:color="auto"/>
        <w:bottom w:val="none" w:sz="0" w:space="0" w:color="auto"/>
        <w:right w:val="none" w:sz="0" w:space="0" w:color="auto"/>
      </w:divBdr>
    </w:div>
    <w:div w:id="1359624193">
      <w:bodyDiv w:val="1"/>
      <w:marLeft w:val="0"/>
      <w:marRight w:val="0"/>
      <w:marTop w:val="0"/>
      <w:marBottom w:val="0"/>
      <w:divBdr>
        <w:top w:val="none" w:sz="0" w:space="0" w:color="auto"/>
        <w:left w:val="none" w:sz="0" w:space="0" w:color="auto"/>
        <w:bottom w:val="none" w:sz="0" w:space="0" w:color="auto"/>
        <w:right w:val="none" w:sz="0" w:space="0" w:color="auto"/>
      </w:divBdr>
    </w:div>
    <w:div w:id="1399748464">
      <w:bodyDiv w:val="1"/>
      <w:marLeft w:val="0"/>
      <w:marRight w:val="0"/>
      <w:marTop w:val="0"/>
      <w:marBottom w:val="0"/>
      <w:divBdr>
        <w:top w:val="none" w:sz="0" w:space="0" w:color="auto"/>
        <w:left w:val="none" w:sz="0" w:space="0" w:color="auto"/>
        <w:bottom w:val="none" w:sz="0" w:space="0" w:color="auto"/>
        <w:right w:val="none" w:sz="0" w:space="0" w:color="auto"/>
      </w:divBdr>
    </w:div>
    <w:div w:id="1505587958">
      <w:bodyDiv w:val="1"/>
      <w:marLeft w:val="0"/>
      <w:marRight w:val="0"/>
      <w:marTop w:val="0"/>
      <w:marBottom w:val="0"/>
      <w:divBdr>
        <w:top w:val="none" w:sz="0" w:space="0" w:color="auto"/>
        <w:left w:val="none" w:sz="0" w:space="0" w:color="auto"/>
        <w:bottom w:val="none" w:sz="0" w:space="0" w:color="auto"/>
        <w:right w:val="none" w:sz="0" w:space="0" w:color="auto"/>
      </w:divBdr>
    </w:div>
    <w:div w:id="1684285520">
      <w:bodyDiv w:val="1"/>
      <w:marLeft w:val="0"/>
      <w:marRight w:val="0"/>
      <w:marTop w:val="0"/>
      <w:marBottom w:val="0"/>
      <w:divBdr>
        <w:top w:val="none" w:sz="0" w:space="0" w:color="auto"/>
        <w:left w:val="none" w:sz="0" w:space="0" w:color="auto"/>
        <w:bottom w:val="none" w:sz="0" w:space="0" w:color="auto"/>
        <w:right w:val="none" w:sz="0" w:space="0" w:color="auto"/>
      </w:divBdr>
    </w:div>
    <w:div w:id="1858882948">
      <w:bodyDiv w:val="1"/>
      <w:marLeft w:val="0"/>
      <w:marRight w:val="0"/>
      <w:marTop w:val="0"/>
      <w:marBottom w:val="0"/>
      <w:divBdr>
        <w:top w:val="none" w:sz="0" w:space="0" w:color="auto"/>
        <w:left w:val="none" w:sz="0" w:space="0" w:color="auto"/>
        <w:bottom w:val="none" w:sz="0" w:space="0" w:color="auto"/>
        <w:right w:val="none" w:sz="0" w:space="0" w:color="auto"/>
      </w:divBdr>
    </w:div>
    <w:div w:id="1924989511">
      <w:bodyDiv w:val="1"/>
      <w:marLeft w:val="0"/>
      <w:marRight w:val="0"/>
      <w:marTop w:val="0"/>
      <w:marBottom w:val="0"/>
      <w:divBdr>
        <w:top w:val="none" w:sz="0" w:space="0" w:color="auto"/>
        <w:left w:val="none" w:sz="0" w:space="0" w:color="auto"/>
        <w:bottom w:val="none" w:sz="0" w:space="0" w:color="auto"/>
        <w:right w:val="none" w:sz="0" w:space="0" w:color="auto"/>
      </w:divBdr>
    </w:div>
    <w:div w:id="1963225137">
      <w:bodyDiv w:val="1"/>
      <w:marLeft w:val="0"/>
      <w:marRight w:val="0"/>
      <w:marTop w:val="0"/>
      <w:marBottom w:val="0"/>
      <w:divBdr>
        <w:top w:val="none" w:sz="0" w:space="0" w:color="auto"/>
        <w:left w:val="none" w:sz="0" w:space="0" w:color="auto"/>
        <w:bottom w:val="none" w:sz="0" w:space="0" w:color="auto"/>
        <w:right w:val="none" w:sz="0" w:space="0" w:color="auto"/>
      </w:divBdr>
    </w:div>
    <w:div w:id="21429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apps/org/workgroup/legalxml-courtfiling/download.php/50779/Change%20Log.doc" TargetMode="External"/><Relationship Id="rId3" Type="http://schemas.openxmlformats.org/officeDocument/2006/relationships/settings" Target="settings.xml"/><Relationship Id="rId7" Type="http://schemas.openxmlformats.org/officeDocument/2006/relationships/hyperlink" Target="https://www.oasis-open.org/apps/org/workgroup/legalxml-courtfiling/download.php/50778/ecf-v5.0-spec-wd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s.oasis-open.org/archives/legalxml-courtfiling-comment/201311/msg00000.html" TargetMode="External"/><Relationship Id="rId11" Type="http://schemas.openxmlformats.org/officeDocument/2006/relationships/theme" Target="theme/theme1.xml"/><Relationship Id="rId5" Type="http://schemas.openxmlformats.org/officeDocument/2006/relationships/hyperlink" Target="http://webconf.soaphub.org/conf/room/oasis-ecf&#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asis-open.org/apps/org/workgroup/legalxml-courtfiling/members/action_ite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MTG Management Consultants</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E. Cabral</dc:creator>
  <cp:lastModifiedBy>Jim Cabral</cp:lastModifiedBy>
  <cp:revision>2</cp:revision>
  <dcterms:created xsi:type="dcterms:W3CDTF">2014-01-14T19:16:00Z</dcterms:created>
  <dcterms:modified xsi:type="dcterms:W3CDTF">2014-01-14T19:16:00Z</dcterms:modified>
</cp:coreProperties>
</file>