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6"/>
        <w:gridCol w:w="908"/>
        <w:gridCol w:w="1209"/>
        <w:gridCol w:w="1209"/>
        <w:gridCol w:w="1115"/>
        <w:gridCol w:w="4177"/>
        <w:gridCol w:w="4233"/>
        <w:gridCol w:w="2419"/>
      </w:tblGrid>
      <w:tr w:rsidR="006D5F9C" w:rsidTr="00395636">
        <w:trPr>
          <w:jc w:val="center"/>
        </w:trPr>
        <w:tc>
          <w:tcPr>
            <w:tcW w:w="606" w:type="dxa"/>
            <w:tcBorders>
              <w:top w:val="single" w:sz="6" w:space="0" w:color="auto"/>
              <w:bottom w:val="single" w:sz="6" w:space="0" w:color="auto"/>
            </w:tcBorders>
          </w:tcPr>
          <w:p w:rsidR="006D5F9C" w:rsidRDefault="006D5F9C" w:rsidP="00DD353B">
            <w:pPr>
              <w:pStyle w:val="ISOMB"/>
              <w:numPr>
                <w:ilvl w:val="0"/>
                <w:numId w:val="1"/>
              </w:numPr>
              <w:spacing w:before="60" w:after="60" w:line="240" w:lineRule="auto"/>
              <w:ind w:left="0" w:firstLine="0"/>
            </w:pPr>
            <w:bookmarkStart w:id="0" w:name="_GoBack"/>
            <w:bookmarkEnd w:id="0"/>
          </w:p>
        </w:tc>
        <w:tc>
          <w:tcPr>
            <w:tcW w:w="908" w:type="dxa"/>
            <w:tcBorders>
              <w:top w:val="single" w:sz="6" w:space="0" w:color="auto"/>
              <w:bottom w:val="single" w:sz="6" w:space="0" w:color="auto"/>
            </w:tcBorders>
          </w:tcPr>
          <w:p w:rsidR="006D5F9C" w:rsidRDefault="006D5F9C">
            <w:pPr>
              <w:pStyle w:val="ISOClause"/>
              <w:spacing w:before="60" w:after="60" w:line="240" w:lineRule="auto"/>
            </w:pPr>
          </w:p>
        </w:tc>
        <w:tc>
          <w:tcPr>
            <w:tcW w:w="1209" w:type="dxa"/>
            <w:tcBorders>
              <w:top w:val="single" w:sz="6" w:space="0" w:color="auto"/>
              <w:bottom w:val="single" w:sz="6" w:space="0" w:color="auto"/>
            </w:tcBorders>
          </w:tcPr>
          <w:p w:rsidR="006D5F9C" w:rsidRDefault="006D5F9C" w:rsidP="004A572A">
            <w:pPr>
              <w:pStyle w:val="ISOClause"/>
              <w:spacing w:before="60" w:after="60" w:line="240" w:lineRule="auto"/>
            </w:pPr>
            <w:r>
              <w:t>(1)(b)</w:t>
            </w:r>
          </w:p>
        </w:tc>
        <w:tc>
          <w:tcPr>
            <w:tcW w:w="1209" w:type="dxa"/>
            <w:tcBorders>
              <w:top w:val="single" w:sz="6" w:space="0" w:color="auto"/>
              <w:bottom w:val="single" w:sz="6" w:space="0" w:color="auto"/>
            </w:tcBorders>
          </w:tcPr>
          <w:p w:rsidR="006D5F9C" w:rsidRDefault="006D5F9C" w:rsidP="004A572A">
            <w:pPr>
              <w:pStyle w:val="ISOParagraph"/>
              <w:spacing w:before="60" w:after="60" w:line="240" w:lineRule="auto"/>
            </w:pPr>
            <w:r>
              <w:t>¶ 1</w:t>
            </w:r>
          </w:p>
        </w:tc>
        <w:tc>
          <w:tcPr>
            <w:tcW w:w="1115" w:type="dxa"/>
            <w:tcBorders>
              <w:top w:val="single" w:sz="6" w:space="0" w:color="auto"/>
              <w:bottom w:val="single" w:sz="6" w:space="0" w:color="auto"/>
            </w:tcBorders>
          </w:tcPr>
          <w:p w:rsidR="006D5F9C" w:rsidRDefault="006D5F9C" w:rsidP="004A572A">
            <w:pPr>
              <w:pStyle w:val="ISOCommType"/>
              <w:spacing w:before="60" w:after="60" w:line="240" w:lineRule="auto"/>
            </w:pPr>
            <w:r>
              <w:t>te</w:t>
            </w:r>
          </w:p>
        </w:tc>
        <w:tc>
          <w:tcPr>
            <w:tcW w:w="4177" w:type="dxa"/>
            <w:tcBorders>
              <w:top w:val="single" w:sz="6" w:space="0" w:color="auto"/>
              <w:bottom w:val="single" w:sz="6" w:space="0" w:color="auto"/>
            </w:tcBorders>
          </w:tcPr>
          <w:p w:rsidR="006D5F9C" w:rsidRDefault="006D5F9C" w:rsidP="0019121D">
            <w:pPr>
              <w:pStyle w:val="ISOComments"/>
              <w:spacing w:before="60" w:after="60" w:line="240" w:lineRule="auto"/>
            </w:pPr>
            <w:r>
              <w:t>“One of our highest priorities in the information security field is the development of techniques to confirm that a person accessing online resources is authorized and allowed to do so. Simply stated, an entity must be able to validate its identity before accessing information, otherwise access to a resource should be denied. “</w:t>
            </w:r>
          </w:p>
        </w:tc>
        <w:tc>
          <w:tcPr>
            <w:tcW w:w="4233" w:type="dxa"/>
            <w:tcBorders>
              <w:top w:val="single" w:sz="6" w:space="0" w:color="auto"/>
              <w:bottom w:val="single" w:sz="6" w:space="0" w:color="auto"/>
            </w:tcBorders>
          </w:tcPr>
          <w:p w:rsidR="006D5F9C" w:rsidRDefault="006D5F9C" w:rsidP="004A572A">
            <w:pPr>
              <w:pStyle w:val="ISOChange"/>
              <w:spacing w:before="60" w:after="60" w:line="240" w:lineRule="auto"/>
            </w:pPr>
            <w:r>
              <w:t>Authentication and Authorization are two distinct functions which are not interchangeable as implied here.  Suggest that the wording be changed accordingly.</w:t>
            </w:r>
          </w:p>
        </w:tc>
        <w:tc>
          <w:tcPr>
            <w:tcW w:w="2419" w:type="dxa"/>
            <w:tcBorders>
              <w:top w:val="single" w:sz="6" w:space="0" w:color="auto"/>
              <w:bottom w:val="single" w:sz="6" w:space="0" w:color="auto"/>
            </w:tcBorders>
          </w:tcPr>
          <w:p w:rsidR="006D5F9C" w:rsidRDefault="006D5F9C">
            <w:pPr>
              <w:pStyle w:val="ISOSecretObservations"/>
              <w:spacing w:before="60" w:after="60" w:line="240" w:lineRule="auto"/>
            </w:pPr>
          </w:p>
        </w:tc>
      </w:tr>
      <w:tr w:rsidR="006D5F9C" w:rsidTr="00395636">
        <w:trPr>
          <w:jc w:val="center"/>
        </w:trPr>
        <w:tc>
          <w:tcPr>
            <w:tcW w:w="606" w:type="dxa"/>
            <w:tcBorders>
              <w:top w:val="single" w:sz="6" w:space="0" w:color="auto"/>
              <w:bottom w:val="single" w:sz="6" w:space="0" w:color="auto"/>
            </w:tcBorders>
          </w:tcPr>
          <w:p w:rsidR="006D5F9C" w:rsidRDefault="006D5F9C" w:rsidP="00DD353B">
            <w:pPr>
              <w:pStyle w:val="ISOMB"/>
              <w:numPr>
                <w:ilvl w:val="0"/>
                <w:numId w:val="1"/>
              </w:numPr>
              <w:spacing w:before="60" w:after="60" w:line="240" w:lineRule="auto"/>
              <w:ind w:left="0" w:firstLine="0"/>
            </w:pPr>
          </w:p>
        </w:tc>
        <w:tc>
          <w:tcPr>
            <w:tcW w:w="908" w:type="dxa"/>
            <w:tcBorders>
              <w:top w:val="single" w:sz="6" w:space="0" w:color="auto"/>
              <w:bottom w:val="single" w:sz="6" w:space="0" w:color="auto"/>
            </w:tcBorders>
          </w:tcPr>
          <w:p w:rsidR="006D5F9C" w:rsidRDefault="006D5F9C">
            <w:pPr>
              <w:pStyle w:val="ISOClause"/>
              <w:spacing w:before="60" w:after="60" w:line="240" w:lineRule="auto"/>
            </w:pPr>
          </w:p>
        </w:tc>
        <w:tc>
          <w:tcPr>
            <w:tcW w:w="1209" w:type="dxa"/>
            <w:tcBorders>
              <w:top w:val="single" w:sz="6" w:space="0" w:color="auto"/>
              <w:bottom w:val="single" w:sz="6" w:space="0" w:color="auto"/>
            </w:tcBorders>
          </w:tcPr>
          <w:p w:rsidR="006D5F9C" w:rsidRDefault="006D5F9C" w:rsidP="004A572A">
            <w:pPr>
              <w:pStyle w:val="ISOClause"/>
              <w:spacing w:before="60" w:after="60" w:line="240" w:lineRule="auto"/>
            </w:pPr>
            <w:r>
              <w:t>(1)(b)</w:t>
            </w:r>
          </w:p>
        </w:tc>
        <w:tc>
          <w:tcPr>
            <w:tcW w:w="1209" w:type="dxa"/>
            <w:tcBorders>
              <w:top w:val="single" w:sz="6" w:space="0" w:color="auto"/>
              <w:bottom w:val="single" w:sz="6" w:space="0" w:color="auto"/>
            </w:tcBorders>
          </w:tcPr>
          <w:p w:rsidR="006D5F9C" w:rsidRDefault="006D5F9C" w:rsidP="004A572A">
            <w:pPr>
              <w:pStyle w:val="ISOParagraph"/>
              <w:spacing w:before="60" w:after="60" w:line="240" w:lineRule="auto"/>
            </w:pPr>
            <w:r>
              <w:t>¶ 2</w:t>
            </w:r>
          </w:p>
        </w:tc>
        <w:tc>
          <w:tcPr>
            <w:tcW w:w="1115" w:type="dxa"/>
            <w:tcBorders>
              <w:top w:val="single" w:sz="6" w:space="0" w:color="auto"/>
              <w:bottom w:val="single" w:sz="6" w:space="0" w:color="auto"/>
            </w:tcBorders>
          </w:tcPr>
          <w:p w:rsidR="006D5F9C" w:rsidRDefault="006D5F9C" w:rsidP="004A572A">
            <w:pPr>
              <w:pStyle w:val="ISOCommType"/>
              <w:spacing w:before="60" w:after="60" w:line="240" w:lineRule="auto"/>
            </w:pPr>
            <w:r>
              <w:t>ed</w:t>
            </w:r>
          </w:p>
        </w:tc>
        <w:tc>
          <w:tcPr>
            <w:tcW w:w="4177" w:type="dxa"/>
            <w:tcBorders>
              <w:top w:val="single" w:sz="6" w:space="0" w:color="auto"/>
              <w:bottom w:val="single" w:sz="6" w:space="0" w:color="auto"/>
            </w:tcBorders>
          </w:tcPr>
          <w:p w:rsidR="006D5F9C" w:rsidRDefault="006D5F9C" w:rsidP="006D5F9C">
            <w:pPr>
              <w:pStyle w:val="ISOComments"/>
              <w:spacing w:before="60" w:after="60" w:line="240" w:lineRule="auto"/>
            </w:pPr>
            <w:r>
              <w:t>“Much of the recent enterprise-level security breaches have been made by hackers with targeted activities to steal clients’ information for fraud and identity theft. This trend has enhanced awareness for the need for better authentication methods to prevent crime and fraud at all levels.”</w:t>
            </w:r>
          </w:p>
        </w:tc>
        <w:tc>
          <w:tcPr>
            <w:tcW w:w="4233" w:type="dxa"/>
            <w:tcBorders>
              <w:top w:val="single" w:sz="6" w:space="0" w:color="auto"/>
              <w:bottom w:val="single" w:sz="6" w:space="0" w:color="auto"/>
            </w:tcBorders>
          </w:tcPr>
          <w:p w:rsidR="006D5F9C" w:rsidRDefault="006D5F9C" w:rsidP="004A572A">
            <w:pPr>
              <w:pStyle w:val="ISOChange"/>
              <w:spacing w:before="60" w:after="60" w:line="240" w:lineRule="auto"/>
            </w:pPr>
            <w:r>
              <w:t>This is speculative and, without specific reference(s), should be deleted.</w:t>
            </w:r>
          </w:p>
        </w:tc>
        <w:tc>
          <w:tcPr>
            <w:tcW w:w="2419" w:type="dxa"/>
            <w:tcBorders>
              <w:top w:val="single" w:sz="6" w:space="0" w:color="auto"/>
              <w:bottom w:val="single" w:sz="6" w:space="0" w:color="auto"/>
            </w:tcBorders>
          </w:tcPr>
          <w:p w:rsidR="006D5F9C" w:rsidRDefault="006D5F9C">
            <w:pPr>
              <w:pStyle w:val="ISOSecretObservations"/>
              <w:spacing w:before="60" w:after="60" w:line="240" w:lineRule="auto"/>
            </w:pPr>
          </w:p>
        </w:tc>
      </w:tr>
      <w:tr w:rsidR="006D5F9C" w:rsidTr="00395636">
        <w:trPr>
          <w:jc w:val="center"/>
        </w:trPr>
        <w:tc>
          <w:tcPr>
            <w:tcW w:w="606" w:type="dxa"/>
            <w:tcBorders>
              <w:top w:val="single" w:sz="6" w:space="0" w:color="auto"/>
              <w:bottom w:val="single" w:sz="6" w:space="0" w:color="auto"/>
            </w:tcBorders>
          </w:tcPr>
          <w:p w:rsidR="006D5F9C" w:rsidRDefault="006D5F9C" w:rsidP="00DD353B">
            <w:pPr>
              <w:pStyle w:val="ISOMB"/>
              <w:numPr>
                <w:ilvl w:val="0"/>
                <w:numId w:val="1"/>
              </w:numPr>
              <w:spacing w:before="60" w:after="60" w:line="240" w:lineRule="auto"/>
              <w:ind w:left="0" w:firstLine="0"/>
            </w:pPr>
          </w:p>
        </w:tc>
        <w:tc>
          <w:tcPr>
            <w:tcW w:w="908" w:type="dxa"/>
            <w:tcBorders>
              <w:top w:val="single" w:sz="6" w:space="0" w:color="auto"/>
              <w:bottom w:val="single" w:sz="6" w:space="0" w:color="auto"/>
            </w:tcBorders>
          </w:tcPr>
          <w:p w:rsidR="006D5F9C" w:rsidRDefault="006D5F9C">
            <w:pPr>
              <w:pStyle w:val="ISOClause"/>
              <w:spacing w:before="60" w:after="60" w:line="240" w:lineRule="auto"/>
            </w:pPr>
          </w:p>
        </w:tc>
        <w:tc>
          <w:tcPr>
            <w:tcW w:w="1209" w:type="dxa"/>
            <w:tcBorders>
              <w:top w:val="single" w:sz="6" w:space="0" w:color="auto"/>
              <w:bottom w:val="single" w:sz="6" w:space="0" w:color="auto"/>
            </w:tcBorders>
          </w:tcPr>
          <w:p w:rsidR="006D5F9C" w:rsidRDefault="006D5F9C" w:rsidP="004A572A">
            <w:pPr>
              <w:pStyle w:val="ISOClause"/>
              <w:spacing w:before="60" w:after="60" w:line="240" w:lineRule="auto"/>
            </w:pPr>
            <w:r>
              <w:t>(1)(b)</w:t>
            </w:r>
          </w:p>
        </w:tc>
        <w:tc>
          <w:tcPr>
            <w:tcW w:w="1209" w:type="dxa"/>
            <w:tcBorders>
              <w:top w:val="single" w:sz="6" w:space="0" w:color="auto"/>
              <w:bottom w:val="single" w:sz="6" w:space="0" w:color="auto"/>
            </w:tcBorders>
          </w:tcPr>
          <w:p w:rsidR="006D5F9C" w:rsidRDefault="006D5F9C" w:rsidP="004A572A">
            <w:pPr>
              <w:pStyle w:val="ISOParagraph"/>
              <w:spacing w:before="60" w:after="60" w:line="240" w:lineRule="auto"/>
            </w:pPr>
            <w:r>
              <w:t>¶ 5</w:t>
            </w:r>
          </w:p>
        </w:tc>
        <w:tc>
          <w:tcPr>
            <w:tcW w:w="1115" w:type="dxa"/>
            <w:tcBorders>
              <w:top w:val="single" w:sz="6" w:space="0" w:color="auto"/>
              <w:bottom w:val="single" w:sz="6" w:space="0" w:color="auto"/>
            </w:tcBorders>
          </w:tcPr>
          <w:p w:rsidR="006D5F9C" w:rsidRDefault="006D5F9C" w:rsidP="004A572A">
            <w:pPr>
              <w:pStyle w:val="ISOCommType"/>
              <w:spacing w:before="60" w:after="60" w:line="240" w:lineRule="auto"/>
            </w:pPr>
            <w:r>
              <w:t>te</w:t>
            </w:r>
          </w:p>
        </w:tc>
        <w:tc>
          <w:tcPr>
            <w:tcW w:w="4177" w:type="dxa"/>
            <w:tcBorders>
              <w:top w:val="single" w:sz="6" w:space="0" w:color="auto"/>
              <w:bottom w:val="single" w:sz="6" w:space="0" w:color="auto"/>
            </w:tcBorders>
          </w:tcPr>
          <w:p w:rsidR="006D5F9C" w:rsidRDefault="006D5F9C" w:rsidP="0019121D">
            <w:pPr>
              <w:pStyle w:val="ISOComments"/>
              <w:spacing w:before="60" w:after="60" w:line="240" w:lineRule="auto"/>
            </w:pPr>
            <w:r>
              <w:t>“</w:t>
            </w:r>
            <w:r w:rsidR="00E666F7">
              <w:t xml:space="preserve">Until recently, the “something that we are” authentication method, such as biometrics technology, was resource intensive.  </w:t>
            </w:r>
            <w:r>
              <w:t>However, the advent of smart phones, smart watches and mobile devices that include sensors (such as cameras, fingerprint scanners and microphones) has made it feasible and affordable to use biometrics for identification and authentication for online access. Biometrics systems can identify users based on either physiological or behavioral characteristics.”</w:t>
            </w:r>
          </w:p>
        </w:tc>
        <w:tc>
          <w:tcPr>
            <w:tcW w:w="4233" w:type="dxa"/>
            <w:tcBorders>
              <w:top w:val="single" w:sz="6" w:space="0" w:color="auto"/>
              <w:bottom w:val="single" w:sz="6" w:space="0" w:color="auto"/>
            </w:tcBorders>
          </w:tcPr>
          <w:p w:rsidR="006D5F9C" w:rsidRDefault="006D5F9C" w:rsidP="00E666F7">
            <w:pPr>
              <w:pStyle w:val="ISOChange"/>
              <w:spacing w:before="60" w:after="60" w:line="240" w:lineRule="auto"/>
            </w:pPr>
            <w:r>
              <w:t xml:space="preserve">However, the advent of smart phones, smart watches and mobile devices that include sensors (such as </w:t>
            </w:r>
            <w:r w:rsidR="003C5DC9">
              <w:t>cameras, fingerprint scanners</w:t>
            </w:r>
            <w:r w:rsidR="003C5DC9" w:rsidRPr="003C5DC9">
              <w:rPr>
                <w:b/>
                <w:highlight w:val="yellow"/>
              </w:rPr>
              <w:t xml:space="preserve">, </w:t>
            </w:r>
            <w:r w:rsidRPr="003C5DC9">
              <w:rPr>
                <w:b/>
                <w:strike/>
                <w:highlight w:val="yellow"/>
              </w:rPr>
              <w:t>and</w:t>
            </w:r>
            <w:r>
              <w:t xml:space="preserve"> microphones</w:t>
            </w:r>
            <w:r w:rsidR="00E666F7">
              <w:t xml:space="preserve">, </w:t>
            </w:r>
            <w:r w:rsidR="00E666F7">
              <w:rPr>
                <w:b/>
                <w:highlight w:val="yellow"/>
              </w:rPr>
              <w:t>and G</w:t>
            </w:r>
            <w:r w:rsidR="00E666F7" w:rsidRPr="00E666F7">
              <w:rPr>
                <w:b/>
                <w:highlight w:val="yellow"/>
              </w:rPr>
              <w:t>PS</w:t>
            </w:r>
            <w:r>
              <w:t xml:space="preserve">) has made it feasible and affordable to use biometrics for </w:t>
            </w:r>
            <w:r w:rsidRPr="00E666F7">
              <w:rPr>
                <w:b/>
                <w:strike/>
                <w:highlight w:val="yellow"/>
              </w:rPr>
              <w:t>identification and</w:t>
            </w:r>
            <w:r>
              <w:t xml:space="preserve"> authentication for online access. </w:t>
            </w:r>
            <w:r w:rsidRPr="00E666F7">
              <w:rPr>
                <w:b/>
                <w:strike/>
                <w:highlight w:val="yellow"/>
              </w:rPr>
              <w:t>Biometrics</w:t>
            </w:r>
            <w:r w:rsidRPr="00E666F7">
              <w:rPr>
                <w:highlight w:val="yellow"/>
              </w:rPr>
              <w:t xml:space="preserve"> </w:t>
            </w:r>
            <w:r w:rsidR="00E666F7" w:rsidRPr="00E666F7">
              <w:rPr>
                <w:b/>
                <w:highlight w:val="yellow"/>
              </w:rPr>
              <w:t>Recognition</w:t>
            </w:r>
            <w:r w:rsidR="00E666F7">
              <w:t xml:space="preserve"> </w:t>
            </w:r>
            <w:r>
              <w:t>systems can identify users based on either physiological or behavioral characteristics</w:t>
            </w:r>
            <w:r w:rsidR="00E666F7">
              <w:t xml:space="preserve"> </w:t>
            </w:r>
            <w:r w:rsidR="00E666F7" w:rsidRPr="00E666F7">
              <w:rPr>
                <w:b/>
                <w:highlight w:val="yellow"/>
              </w:rPr>
              <w:t>along with contextual information</w:t>
            </w:r>
            <w:r>
              <w:t>.</w:t>
            </w:r>
          </w:p>
        </w:tc>
        <w:tc>
          <w:tcPr>
            <w:tcW w:w="2419" w:type="dxa"/>
            <w:tcBorders>
              <w:top w:val="single" w:sz="6" w:space="0" w:color="auto"/>
              <w:bottom w:val="single" w:sz="6" w:space="0" w:color="auto"/>
            </w:tcBorders>
          </w:tcPr>
          <w:p w:rsidR="006D5F9C" w:rsidRDefault="006D5F9C">
            <w:pPr>
              <w:pStyle w:val="ISOSecretObservations"/>
              <w:spacing w:before="60" w:after="60" w:line="240" w:lineRule="auto"/>
            </w:pPr>
          </w:p>
        </w:tc>
      </w:tr>
      <w:tr w:rsidR="003C5DC9" w:rsidTr="00395636">
        <w:trPr>
          <w:jc w:val="center"/>
        </w:trPr>
        <w:tc>
          <w:tcPr>
            <w:tcW w:w="606" w:type="dxa"/>
            <w:tcBorders>
              <w:top w:val="single" w:sz="6" w:space="0" w:color="auto"/>
              <w:bottom w:val="single" w:sz="6" w:space="0" w:color="auto"/>
            </w:tcBorders>
          </w:tcPr>
          <w:p w:rsidR="003C5DC9" w:rsidRDefault="003C5DC9" w:rsidP="00DD353B">
            <w:pPr>
              <w:pStyle w:val="ISOMB"/>
              <w:numPr>
                <w:ilvl w:val="0"/>
                <w:numId w:val="1"/>
              </w:numPr>
              <w:spacing w:before="60" w:after="60" w:line="240" w:lineRule="auto"/>
              <w:ind w:left="0" w:firstLine="0"/>
            </w:pPr>
          </w:p>
        </w:tc>
        <w:tc>
          <w:tcPr>
            <w:tcW w:w="908" w:type="dxa"/>
            <w:tcBorders>
              <w:top w:val="single" w:sz="6" w:space="0" w:color="auto"/>
              <w:bottom w:val="single" w:sz="6" w:space="0" w:color="auto"/>
            </w:tcBorders>
          </w:tcPr>
          <w:p w:rsidR="003C5DC9" w:rsidRDefault="003C5DC9">
            <w:pPr>
              <w:pStyle w:val="ISOClause"/>
              <w:spacing w:before="60" w:after="60" w:line="240" w:lineRule="auto"/>
            </w:pPr>
          </w:p>
        </w:tc>
        <w:tc>
          <w:tcPr>
            <w:tcW w:w="1209" w:type="dxa"/>
            <w:tcBorders>
              <w:top w:val="single" w:sz="6" w:space="0" w:color="auto"/>
              <w:bottom w:val="single" w:sz="6" w:space="0" w:color="auto"/>
            </w:tcBorders>
          </w:tcPr>
          <w:p w:rsidR="003C5DC9" w:rsidRDefault="003C5DC9" w:rsidP="004A572A">
            <w:pPr>
              <w:pStyle w:val="ISOClause"/>
              <w:spacing w:before="60" w:after="60" w:line="240" w:lineRule="auto"/>
            </w:pPr>
            <w:r>
              <w:t>(1)(b)</w:t>
            </w:r>
          </w:p>
        </w:tc>
        <w:tc>
          <w:tcPr>
            <w:tcW w:w="1209" w:type="dxa"/>
            <w:tcBorders>
              <w:top w:val="single" w:sz="6" w:space="0" w:color="auto"/>
              <w:bottom w:val="single" w:sz="6" w:space="0" w:color="auto"/>
            </w:tcBorders>
          </w:tcPr>
          <w:p w:rsidR="003C5DC9" w:rsidRDefault="003C5DC9" w:rsidP="003C5DC9">
            <w:pPr>
              <w:pStyle w:val="ISOParagraph"/>
              <w:spacing w:before="60" w:after="60" w:line="240" w:lineRule="auto"/>
            </w:pPr>
            <w:r>
              <w:t>¶ 6</w:t>
            </w:r>
          </w:p>
        </w:tc>
        <w:tc>
          <w:tcPr>
            <w:tcW w:w="1115" w:type="dxa"/>
            <w:tcBorders>
              <w:top w:val="single" w:sz="6" w:space="0" w:color="auto"/>
              <w:bottom w:val="single" w:sz="6" w:space="0" w:color="auto"/>
            </w:tcBorders>
          </w:tcPr>
          <w:p w:rsidR="003C5DC9" w:rsidRDefault="003C5DC9" w:rsidP="004A572A">
            <w:pPr>
              <w:pStyle w:val="ISOCommType"/>
              <w:spacing w:before="60" w:after="60" w:line="240" w:lineRule="auto"/>
            </w:pPr>
            <w:r>
              <w:t>te</w:t>
            </w:r>
          </w:p>
        </w:tc>
        <w:tc>
          <w:tcPr>
            <w:tcW w:w="4177" w:type="dxa"/>
            <w:tcBorders>
              <w:top w:val="single" w:sz="6" w:space="0" w:color="auto"/>
              <w:bottom w:val="single" w:sz="6" w:space="0" w:color="auto"/>
            </w:tcBorders>
          </w:tcPr>
          <w:p w:rsidR="003C5DC9" w:rsidRDefault="003C5DC9" w:rsidP="003C5DC9">
            <w:pPr>
              <w:pStyle w:val="ISOComments"/>
              <w:spacing w:before="60" w:after="60" w:line="240" w:lineRule="auto"/>
            </w:pPr>
            <w:r>
              <w:t xml:space="preserve">“The demand for the ease and reliability offered by biometrics is growing. Consumers want security systems in place that prevent unauthorized access to their personal data. They are also concerned about having their identities stolen and used by thieves. Individuals have password fatigue and tend to reuse passwords across many sites, which add to the risk of identity theft and fraud. At present, biometrics technology holds a great deal of promise as the solution the industry has been searching for--but </w:t>
            </w:r>
            <w:r>
              <w:lastRenderedPageBreak/>
              <w:t>it is not without its limitations and certainly not without its critics.”</w:t>
            </w:r>
          </w:p>
        </w:tc>
        <w:tc>
          <w:tcPr>
            <w:tcW w:w="4233" w:type="dxa"/>
            <w:tcBorders>
              <w:top w:val="single" w:sz="6" w:space="0" w:color="auto"/>
              <w:bottom w:val="single" w:sz="6" w:space="0" w:color="auto"/>
            </w:tcBorders>
          </w:tcPr>
          <w:p w:rsidR="003C5DC9" w:rsidRDefault="003C5DC9" w:rsidP="004A572A">
            <w:pPr>
              <w:pStyle w:val="ISOChange"/>
              <w:spacing w:before="60" w:after="60" w:line="240" w:lineRule="auto"/>
            </w:pPr>
            <w:r>
              <w:lastRenderedPageBreak/>
              <w:t>Again, confusing Authentication and Authorization; biometrics can aid in the former but not the latter:</w:t>
            </w:r>
          </w:p>
          <w:p w:rsidR="003C5DC9" w:rsidRDefault="003C5DC9" w:rsidP="004A572A">
            <w:pPr>
              <w:pStyle w:val="ISOChange"/>
              <w:spacing w:before="60" w:after="60" w:line="240" w:lineRule="auto"/>
            </w:pPr>
          </w:p>
          <w:p w:rsidR="003C5DC9" w:rsidRDefault="003C5DC9" w:rsidP="004A572A">
            <w:pPr>
              <w:pStyle w:val="ISOChange"/>
              <w:spacing w:before="60" w:after="60" w:line="240" w:lineRule="auto"/>
            </w:pPr>
            <w:r>
              <w:t xml:space="preserve">“The demand for the ease and reliability offered by biometrics is growing. </w:t>
            </w:r>
            <w:r w:rsidRPr="003C5DC9">
              <w:rPr>
                <w:b/>
                <w:strike/>
                <w:highlight w:val="yellow"/>
              </w:rPr>
              <w:t>Consumers want security systems in place that prevent unauthorized access to their personal data. They are also concerned about having their identities stolen and used by thieves</w:t>
            </w:r>
            <w:r>
              <w:t xml:space="preserve">. Individuals have password fatigue and tend to reuse passwords across many sites, which add to the risk of identity theft and </w:t>
            </w:r>
            <w:r>
              <w:lastRenderedPageBreak/>
              <w:t>fraud. At present, biometrics technology holds a great deal of promise as the solution the industry has been searching for--but it is not without its limitations and certainly not without its critics.</w:t>
            </w:r>
          </w:p>
        </w:tc>
        <w:tc>
          <w:tcPr>
            <w:tcW w:w="2419" w:type="dxa"/>
            <w:tcBorders>
              <w:top w:val="single" w:sz="6" w:space="0" w:color="auto"/>
              <w:bottom w:val="single" w:sz="6" w:space="0" w:color="auto"/>
            </w:tcBorders>
          </w:tcPr>
          <w:p w:rsidR="003C5DC9" w:rsidRDefault="003C5DC9">
            <w:pPr>
              <w:pStyle w:val="ISOSecretObservations"/>
              <w:spacing w:before="60" w:after="60" w:line="240" w:lineRule="auto"/>
            </w:pPr>
          </w:p>
        </w:tc>
      </w:tr>
    </w:tbl>
    <w:p w:rsidR="00AE60D1" w:rsidRDefault="00AE60D1">
      <w:pPr>
        <w:spacing w:line="240" w:lineRule="exact"/>
      </w:pPr>
    </w:p>
    <w:p w:rsidR="00AE60D1" w:rsidRPr="00AE60D1" w:rsidRDefault="00AE60D1" w:rsidP="00AE60D1"/>
    <w:p w:rsidR="00AE60D1" w:rsidRPr="00AE60D1" w:rsidRDefault="00AE60D1" w:rsidP="00AE60D1"/>
    <w:p w:rsidR="00AE60D1" w:rsidRPr="00AE60D1" w:rsidRDefault="00AE60D1" w:rsidP="00AE60D1"/>
    <w:p w:rsidR="00AE60D1" w:rsidRPr="00AE60D1" w:rsidRDefault="00AE60D1" w:rsidP="00AE60D1"/>
    <w:p w:rsidR="00AE60D1" w:rsidRDefault="00AE60D1" w:rsidP="00AE60D1"/>
    <w:p w:rsidR="00A16159" w:rsidRPr="00AE60D1" w:rsidRDefault="00A16159" w:rsidP="00AE60D1"/>
    <w:sectPr w:rsidR="00A16159" w:rsidRPr="00AE60D1">
      <w:headerReference w:type="default" r:id="rId8"/>
      <w:footerReference w:type="default" r:id="rId9"/>
      <w:headerReference w:type="first" r:id="rId10"/>
      <w:footerReference w:type="first" r:id="rId11"/>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ED" w:rsidRDefault="009330ED">
      <w:r>
        <w:separator/>
      </w:r>
    </w:p>
  </w:endnote>
  <w:endnote w:type="continuationSeparator" w:id="0">
    <w:p w:rsidR="009330ED" w:rsidRDefault="0093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9" w:rsidRDefault="00A16159">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w:t>
    </w:r>
    <w:r w:rsidR="00AE60D1">
      <w:rPr>
        <w:rStyle w:val="PageNumber"/>
        <w:bCs/>
        <w:sz w:val="16"/>
      </w:rPr>
      <w:t xml:space="preserve">/ </w:t>
    </w:r>
    <w:r w:rsidR="00AE60D1" w:rsidRPr="00AE60D1">
      <w:rPr>
        <w:rStyle w:val="PageNumber"/>
        <w:b/>
        <w:bCs/>
        <w:sz w:val="16"/>
      </w:rPr>
      <w:t>NC</w:t>
    </w:r>
    <w:r w:rsidR="00AE60D1">
      <w:rPr>
        <w:rStyle w:val="PageNumber"/>
        <w:bCs/>
        <w:sz w:val="16"/>
      </w:rPr>
      <w:t xml:space="preserve"> = National Committee </w:t>
    </w:r>
    <w:r>
      <w:rPr>
        <w:rStyle w:val="PageNumber"/>
        <w:bCs/>
        <w:sz w:val="16"/>
      </w:rPr>
      <w:t xml:space="preserve">(enter the ISO 3166 two-letter country code, e.g. CN for China; comments from the ISO/CS editing unit are identified by </w:t>
    </w:r>
    <w:r>
      <w:rPr>
        <w:rStyle w:val="PageNumber"/>
        <w:b/>
        <w:sz w:val="16"/>
      </w:rPr>
      <w:t>**</w:t>
    </w:r>
    <w:r>
      <w:rPr>
        <w:rStyle w:val="PageNumber"/>
        <w:bCs/>
        <w:sz w:val="16"/>
      </w:rPr>
      <w:t>)</w:t>
    </w:r>
  </w:p>
  <w:p w:rsidR="00A16159" w:rsidRDefault="00A16159">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 </w:t>
    </w:r>
  </w:p>
  <w:p w:rsidR="00A16159" w:rsidRDefault="00A16159">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9330ED">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9330ED">
      <w:rPr>
        <w:rStyle w:val="PageNumber"/>
        <w:noProof/>
        <w:sz w:val="16"/>
        <w:lang w:val="en-US"/>
      </w:rPr>
      <w:t>1</w:t>
    </w:r>
    <w:r>
      <w:rPr>
        <w:rStyle w:val="PageNumber"/>
        <w:sz w:val="16"/>
        <w:lang w:val="en-US"/>
      </w:rPr>
      <w:fldChar w:fldCharType="end"/>
    </w:r>
  </w:p>
  <w:p w:rsidR="00A16159" w:rsidRDefault="00A16159">
    <w:pPr>
      <w:pStyle w:val="Footer"/>
      <w:jc w:val="left"/>
      <w:rPr>
        <w:rStyle w:val="PageNumber"/>
        <w:i/>
        <w:iCs/>
        <w:sz w:val="16"/>
      </w:rPr>
    </w:pPr>
    <w:r>
      <w:rPr>
        <w:rStyle w:val="PageNumber"/>
        <w:i/>
        <w:iCs/>
        <w:sz w:val="16"/>
      </w:rPr>
      <w:t>ISO</w:t>
    </w:r>
    <w:r w:rsidR="00AE60D1">
      <w:rPr>
        <w:rStyle w:val="PageNumber"/>
        <w:i/>
        <w:iCs/>
        <w:sz w:val="16"/>
      </w:rPr>
      <w:t>/IEC</w:t>
    </w:r>
    <w:r w:rsidR="00387E3D">
      <w:rPr>
        <w:rStyle w:val="PageNumber"/>
        <w:i/>
        <w:iCs/>
        <w:sz w:val="16"/>
      </w:rPr>
      <w:t>/CEN/CENELEC</w:t>
    </w:r>
    <w:r w:rsidR="00AE60D1">
      <w:rPr>
        <w:rStyle w:val="PageNumber"/>
        <w:i/>
        <w:iCs/>
        <w:sz w:val="16"/>
      </w:rPr>
      <w:t xml:space="preserve"> </w:t>
    </w:r>
    <w:r>
      <w:rPr>
        <w:rStyle w:val="PageNumber"/>
        <w:i/>
        <w:iCs/>
        <w:sz w:val="16"/>
      </w:rPr>
      <w:t xml:space="preserve"> electronic balloting</w:t>
    </w:r>
    <w:r w:rsidR="00C90982">
      <w:rPr>
        <w:rStyle w:val="PageNumber"/>
        <w:i/>
        <w:iCs/>
        <w:sz w:val="16"/>
      </w:rPr>
      <w:t xml:space="preserve"> commenting template/version 20</w:t>
    </w:r>
    <w:r>
      <w:rPr>
        <w:rStyle w:val="PageNumber"/>
        <w:i/>
        <w:iCs/>
        <w:sz w:val="16"/>
      </w:rPr>
      <w:t>1</w:t>
    </w:r>
    <w:r w:rsidR="00C90982">
      <w:rPr>
        <w:rStyle w:val="PageNumber"/>
        <w:i/>
        <w:iCs/>
        <w:sz w:val="16"/>
      </w:rPr>
      <w:t>2-</w:t>
    </w:r>
    <w:r>
      <w:rPr>
        <w:rStyle w:val="PageNumber"/>
        <w:i/>
        <w:iCs/>
        <w:sz w:val="16"/>
      </w:rPr>
      <w:t>0</w:t>
    </w:r>
    <w:r w:rsidR="00AE60D1">
      <w:rPr>
        <w:rStyle w:val="PageNumber"/>
        <w:i/>
        <w:iCs/>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9" w:rsidRDefault="00A16159">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China)</w:t>
    </w:r>
    <w:r>
      <w:rPr>
        <w:rStyle w:val="PageNumber"/>
        <w:bCs/>
        <w:sz w:val="16"/>
      </w:rPr>
      <w:tab/>
    </w:r>
    <w:r>
      <w:rPr>
        <w:rStyle w:val="PageNumber"/>
        <w:b/>
        <w:sz w:val="16"/>
      </w:rPr>
      <w:t>**</w:t>
    </w:r>
    <w:r>
      <w:rPr>
        <w:rStyle w:val="PageNumber"/>
        <w:bCs/>
        <w:sz w:val="16"/>
      </w:rPr>
      <w:t xml:space="preserve"> = ISO/CS editing unit</w:t>
    </w:r>
  </w:p>
  <w:p w:rsidR="00A16159" w:rsidRDefault="00A16159">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rsidR="00A16159" w:rsidRDefault="00A16159">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rsidR="00A16159" w:rsidRDefault="00A16159">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DD353B">
      <w:rPr>
        <w:rStyle w:val="PageNumber"/>
        <w:noProof/>
        <w:sz w:val="16"/>
        <w:lang w:val="en-US"/>
      </w:rPr>
      <w:t>1</w:t>
    </w:r>
    <w:r>
      <w:rPr>
        <w:rStyle w:val="PageNumber"/>
        <w:sz w:val="16"/>
        <w:lang w:val="en-US"/>
      </w:rPr>
      <w:fldChar w:fldCharType="end"/>
    </w:r>
  </w:p>
  <w:p w:rsidR="00A16159" w:rsidRDefault="00A16159">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ED" w:rsidRDefault="009330ED">
      <w:r>
        <w:separator/>
      </w:r>
    </w:p>
  </w:footnote>
  <w:footnote w:type="continuationSeparator" w:id="0">
    <w:p w:rsidR="009330ED" w:rsidRDefault="00933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40"/>
      <w:gridCol w:w="2410"/>
      <w:gridCol w:w="3119"/>
      <w:gridCol w:w="2607"/>
    </w:tblGrid>
    <w:tr w:rsidR="00A64E75" w:rsidTr="00A64E75">
      <w:trPr>
        <w:cantSplit/>
        <w:jc w:val="center"/>
      </w:trPr>
      <w:tc>
        <w:tcPr>
          <w:tcW w:w="7740" w:type="dxa"/>
          <w:tcBorders>
            <w:top w:val="nil"/>
            <w:left w:val="nil"/>
            <w:bottom w:val="nil"/>
            <w:right w:val="nil"/>
          </w:tcBorders>
        </w:tcPr>
        <w:p w:rsidR="00A64E75" w:rsidRDefault="009330ED" w:rsidP="00DD353B">
          <w:pPr>
            <w:pStyle w:val="ISOComments"/>
            <w:spacing w:before="60" w:after="60"/>
            <w:rPr>
              <w:rStyle w:val="MTEquationSection"/>
              <w:b/>
              <w:bCs/>
              <w:color w:val="auto"/>
              <w:sz w:val="22"/>
            </w:rPr>
          </w:pPr>
          <w:sdt>
            <w:sdtPr>
              <w:rPr>
                <w:rStyle w:val="MTEquationSection"/>
                <w:b/>
                <w:bCs/>
                <w:color w:val="auto"/>
                <w:sz w:val="22"/>
              </w:rPr>
              <w:id w:val="1150719125"/>
              <w:docPartObj>
                <w:docPartGallery w:val="Watermarks"/>
                <w:docPartUnique/>
              </w:docPartObj>
            </w:sdtPr>
            <w:sdtEndPr>
              <w:rPr>
                <w:rStyle w:val="MTEquationSection"/>
              </w:rPr>
            </w:sdtEndPr>
            <w:sdtContent>
              <w:r>
                <w:rPr>
                  <w:rStyle w:val="MTEquationSection"/>
                  <w:color w:val="auto"/>
                  <w:sz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36A3">
            <w:rPr>
              <w:rStyle w:val="MTEquationSection"/>
              <w:b/>
              <w:bCs/>
              <w:color w:val="auto"/>
              <w:sz w:val="22"/>
            </w:rPr>
            <w:t>Accenture</w:t>
          </w:r>
          <w:r w:rsidR="00DD353B">
            <w:rPr>
              <w:rStyle w:val="MTEquationSection"/>
              <w:b/>
              <w:bCs/>
              <w:color w:val="auto"/>
              <w:sz w:val="22"/>
            </w:rPr>
            <w:t xml:space="preserve"> </w:t>
          </w:r>
          <w:r w:rsidR="0016530C">
            <w:rPr>
              <w:rStyle w:val="MTEquationSection"/>
              <w:b/>
              <w:bCs/>
              <w:color w:val="auto"/>
              <w:sz w:val="22"/>
            </w:rPr>
            <w:t>Comments on</w:t>
          </w:r>
          <w:r w:rsidR="00DD353B">
            <w:rPr>
              <w:rStyle w:val="MTEquationSection"/>
              <w:b/>
              <w:bCs/>
              <w:color w:val="auto"/>
              <w:sz w:val="22"/>
            </w:rPr>
            <w:t xml:space="preserve"> OASIS Biometric Open Protocol Specification (BOPS) Technical Committee (TC) draft charter</w:t>
          </w:r>
        </w:p>
        <w:p w:rsidR="00DD353B" w:rsidRDefault="009330ED" w:rsidP="00DD353B">
          <w:pPr>
            <w:pStyle w:val="ISOComments"/>
            <w:spacing w:before="60" w:after="60"/>
          </w:pPr>
          <w:hyperlink r:id="rId1" w:history="1">
            <w:r w:rsidR="00DD353B" w:rsidRPr="00BB4E35">
              <w:rPr>
                <w:rStyle w:val="Hyperlink"/>
              </w:rPr>
              <w:t>https://lists.oasis-open.org/archives/oasis-charter-discuss/201407/msg00000.html</w:t>
            </w:r>
          </w:hyperlink>
        </w:p>
      </w:tc>
      <w:tc>
        <w:tcPr>
          <w:tcW w:w="2410" w:type="dxa"/>
          <w:tcBorders>
            <w:top w:val="single" w:sz="6" w:space="0" w:color="auto"/>
            <w:left w:val="single" w:sz="6" w:space="0" w:color="auto"/>
            <w:bottom w:val="single" w:sz="6" w:space="0" w:color="auto"/>
          </w:tcBorders>
        </w:tcPr>
        <w:p w:rsidR="00A64E75" w:rsidRDefault="00A64E75" w:rsidP="00DD353B">
          <w:pPr>
            <w:pStyle w:val="ISOChange"/>
            <w:spacing w:before="60" w:after="60"/>
            <w:rPr>
              <w:bCs/>
            </w:rPr>
          </w:pPr>
          <w:r>
            <w:rPr>
              <w:bCs/>
            </w:rPr>
            <w:t xml:space="preserve">Date: </w:t>
          </w:r>
          <w:r w:rsidR="00DD353B">
            <w:rPr>
              <w:bCs/>
            </w:rPr>
            <w:t>07/18</w:t>
          </w:r>
          <w:r w:rsidR="0016530C">
            <w:rPr>
              <w:bCs/>
            </w:rPr>
            <w:t>/2014</w:t>
          </w:r>
        </w:p>
      </w:tc>
      <w:tc>
        <w:tcPr>
          <w:tcW w:w="3119" w:type="dxa"/>
          <w:tcBorders>
            <w:top w:val="single" w:sz="6" w:space="0" w:color="auto"/>
            <w:bottom w:val="single" w:sz="6" w:space="0" w:color="auto"/>
          </w:tcBorders>
        </w:tcPr>
        <w:p w:rsidR="00A64E75" w:rsidRDefault="00A64E75" w:rsidP="0016530C">
          <w:pPr>
            <w:pStyle w:val="ISOSecretObservations"/>
            <w:spacing w:before="60" w:after="60"/>
            <w:rPr>
              <w:bCs/>
              <w:sz w:val="20"/>
            </w:rPr>
          </w:pPr>
          <w:r>
            <w:rPr>
              <w:bCs/>
            </w:rPr>
            <w:t>Document:</w:t>
          </w:r>
          <w:r>
            <w:rPr>
              <w:b/>
              <w:sz w:val="20"/>
            </w:rPr>
            <w:t xml:space="preserve"> </w:t>
          </w:r>
        </w:p>
      </w:tc>
      <w:tc>
        <w:tcPr>
          <w:tcW w:w="2607" w:type="dxa"/>
          <w:tcBorders>
            <w:top w:val="single" w:sz="6" w:space="0" w:color="auto"/>
            <w:bottom w:val="single" w:sz="6" w:space="0" w:color="auto"/>
          </w:tcBorders>
        </w:tcPr>
        <w:p w:rsidR="00A64E75" w:rsidRDefault="00BF6B60" w:rsidP="0016530C">
          <w:pPr>
            <w:pStyle w:val="ISOSecretObservations"/>
            <w:spacing w:before="60" w:after="60"/>
            <w:rPr>
              <w:bCs/>
              <w:sz w:val="20"/>
            </w:rPr>
          </w:pPr>
          <w:r>
            <w:rPr>
              <w:bCs/>
              <w:sz w:val="20"/>
            </w:rPr>
            <w:t>Project:</w:t>
          </w:r>
          <w:r w:rsidR="0067102E">
            <w:rPr>
              <w:bCs/>
              <w:sz w:val="20"/>
            </w:rPr>
            <w:t xml:space="preserve"> </w:t>
          </w:r>
        </w:p>
      </w:tc>
    </w:tr>
  </w:tbl>
  <w:p w:rsidR="00A16159" w:rsidRDefault="00A16159">
    <w:pPr>
      <w:pStyle w:val="Header"/>
    </w:pPr>
  </w:p>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6"/>
      <w:gridCol w:w="908"/>
      <w:gridCol w:w="1209"/>
      <w:gridCol w:w="1209"/>
      <w:gridCol w:w="1115"/>
      <w:gridCol w:w="4177"/>
      <w:gridCol w:w="4233"/>
      <w:gridCol w:w="2419"/>
    </w:tblGrid>
    <w:tr w:rsidR="00C90982" w:rsidTr="00395636">
      <w:trPr>
        <w:cantSplit/>
        <w:jc w:val="center"/>
      </w:trPr>
      <w:tc>
        <w:tcPr>
          <w:tcW w:w="606" w:type="dxa"/>
        </w:tcPr>
        <w:p w:rsidR="00C90982" w:rsidRDefault="00C90982" w:rsidP="00AE60D1">
          <w:pPr>
            <w:keepLines/>
            <w:spacing w:before="100" w:after="60" w:line="190" w:lineRule="exact"/>
            <w:jc w:val="center"/>
            <w:rPr>
              <w:b/>
              <w:sz w:val="16"/>
            </w:rPr>
          </w:pPr>
          <w:r>
            <w:rPr>
              <w:b/>
              <w:sz w:val="16"/>
            </w:rPr>
            <w:t>MB</w:t>
          </w:r>
          <w:r w:rsidR="00A64E75">
            <w:rPr>
              <w:b/>
              <w:sz w:val="16"/>
            </w:rPr>
            <w:t>/N</w:t>
          </w:r>
          <w:r w:rsidR="00AE60D1">
            <w:rPr>
              <w:b/>
              <w:sz w:val="16"/>
            </w:rPr>
            <w:t>C</w:t>
          </w:r>
          <w:r w:rsidR="00AE60D1">
            <w:rPr>
              <w:b/>
              <w:bCs/>
              <w:position w:val="6"/>
              <w:sz w:val="12"/>
            </w:rPr>
            <w:t>1</w:t>
          </w:r>
        </w:p>
      </w:tc>
      <w:tc>
        <w:tcPr>
          <w:tcW w:w="908" w:type="dxa"/>
        </w:tcPr>
        <w:p w:rsidR="00C90982" w:rsidRDefault="00C90982" w:rsidP="00A64E75">
          <w:pPr>
            <w:keepLines/>
            <w:spacing w:before="100" w:after="60" w:line="190" w:lineRule="exact"/>
            <w:jc w:val="center"/>
            <w:rPr>
              <w:b/>
              <w:sz w:val="16"/>
            </w:rPr>
          </w:pPr>
          <w:r>
            <w:rPr>
              <w:b/>
              <w:sz w:val="16"/>
            </w:rPr>
            <w:t>Line number</w:t>
          </w:r>
        </w:p>
        <w:p w:rsidR="003C6559" w:rsidRDefault="003C6559" w:rsidP="003C6559">
          <w:pPr>
            <w:keepLines/>
            <w:spacing w:after="60" w:line="190" w:lineRule="exact"/>
            <w:jc w:val="center"/>
            <w:rPr>
              <w:b/>
              <w:sz w:val="16"/>
            </w:rPr>
          </w:pPr>
          <w:r>
            <w:rPr>
              <w:bCs/>
              <w:sz w:val="16"/>
            </w:rPr>
            <w:t>(e.g. 17)</w:t>
          </w:r>
        </w:p>
      </w:tc>
      <w:tc>
        <w:tcPr>
          <w:tcW w:w="1209" w:type="dxa"/>
        </w:tcPr>
        <w:p w:rsidR="00C90982" w:rsidRDefault="00395636" w:rsidP="00395636">
          <w:pPr>
            <w:keepLines/>
            <w:spacing w:before="100" w:after="60" w:line="190" w:lineRule="exact"/>
            <w:jc w:val="center"/>
            <w:rPr>
              <w:b/>
              <w:sz w:val="16"/>
              <w:szCs w:val="16"/>
            </w:rPr>
          </w:pPr>
          <w:r w:rsidRPr="00395636">
            <w:rPr>
              <w:b/>
              <w:sz w:val="16"/>
              <w:szCs w:val="16"/>
            </w:rPr>
            <w:t>Clause/</w:t>
          </w:r>
          <w:r>
            <w:rPr>
              <w:b/>
              <w:sz w:val="16"/>
              <w:szCs w:val="16"/>
            </w:rPr>
            <w:t xml:space="preserve"> </w:t>
          </w:r>
          <w:r w:rsidRPr="00395636">
            <w:rPr>
              <w:b/>
              <w:sz w:val="16"/>
              <w:szCs w:val="16"/>
            </w:rPr>
            <w:t>Subclause</w:t>
          </w:r>
        </w:p>
        <w:p w:rsidR="003C6559" w:rsidRPr="00395636" w:rsidRDefault="003C6559" w:rsidP="003C6559">
          <w:pPr>
            <w:keepLines/>
            <w:spacing w:after="60" w:line="190" w:lineRule="exact"/>
            <w:jc w:val="center"/>
            <w:rPr>
              <w:b/>
              <w:sz w:val="16"/>
              <w:szCs w:val="16"/>
            </w:rPr>
          </w:pPr>
          <w:r>
            <w:rPr>
              <w:bCs/>
              <w:sz w:val="16"/>
            </w:rPr>
            <w:t>(e.g. 3.1)</w:t>
          </w:r>
        </w:p>
      </w:tc>
      <w:tc>
        <w:tcPr>
          <w:tcW w:w="1209" w:type="dxa"/>
        </w:tcPr>
        <w:p w:rsidR="00C90982" w:rsidRDefault="00540C31" w:rsidP="003C6559">
          <w:pPr>
            <w:keepLines/>
            <w:spacing w:before="100" w:line="190" w:lineRule="exact"/>
            <w:jc w:val="center"/>
            <w:rPr>
              <w:b/>
              <w:sz w:val="16"/>
              <w:szCs w:val="16"/>
            </w:rPr>
          </w:pPr>
          <w:r w:rsidRPr="00395636">
            <w:rPr>
              <w:b/>
              <w:sz w:val="16"/>
              <w:szCs w:val="16"/>
            </w:rPr>
            <w:t>Paragraph/</w:t>
          </w:r>
          <w:r w:rsidR="00395636">
            <w:rPr>
              <w:b/>
              <w:sz w:val="16"/>
              <w:szCs w:val="16"/>
            </w:rPr>
            <w:t xml:space="preserve"> </w:t>
          </w:r>
          <w:r w:rsidRPr="00395636">
            <w:rPr>
              <w:b/>
              <w:sz w:val="16"/>
              <w:szCs w:val="16"/>
            </w:rPr>
            <w:t>Figure/</w:t>
          </w:r>
          <w:r w:rsidR="00395636">
            <w:rPr>
              <w:b/>
              <w:sz w:val="16"/>
              <w:szCs w:val="16"/>
            </w:rPr>
            <w:t xml:space="preserve"> </w:t>
          </w:r>
          <w:r w:rsidRPr="00395636">
            <w:rPr>
              <w:b/>
              <w:sz w:val="16"/>
              <w:szCs w:val="16"/>
            </w:rPr>
            <w:t>Table/</w:t>
          </w:r>
        </w:p>
        <w:p w:rsidR="003C6559" w:rsidRPr="00395636" w:rsidRDefault="003C6559" w:rsidP="003C6559">
          <w:pPr>
            <w:keepLines/>
            <w:spacing w:after="60" w:line="190" w:lineRule="exact"/>
            <w:jc w:val="center"/>
            <w:rPr>
              <w:b/>
              <w:sz w:val="16"/>
              <w:szCs w:val="16"/>
            </w:rPr>
          </w:pPr>
          <w:r>
            <w:rPr>
              <w:bCs/>
              <w:sz w:val="16"/>
            </w:rPr>
            <w:t>(e.g. Table 1)</w:t>
          </w:r>
        </w:p>
      </w:tc>
      <w:tc>
        <w:tcPr>
          <w:tcW w:w="1115" w:type="dxa"/>
        </w:tcPr>
        <w:p w:rsidR="00C90982" w:rsidRDefault="00C90982" w:rsidP="00395636">
          <w:pPr>
            <w:keepLines/>
            <w:spacing w:before="100" w:after="60" w:line="190" w:lineRule="exact"/>
            <w:jc w:val="center"/>
            <w:rPr>
              <w:b/>
              <w:sz w:val="16"/>
            </w:rPr>
          </w:pPr>
          <w:r>
            <w:rPr>
              <w:b/>
              <w:sz w:val="16"/>
            </w:rPr>
            <w:t>Type of comment</w:t>
          </w:r>
          <w:r>
            <w:rPr>
              <w:b/>
              <w:bCs/>
              <w:position w:val="6"/>
              <w:sz w:val="12"/>
            </w:rPr>
            <w:t>2</w:t>
          </w:r>
        </w:p>
      </w:tc>
      <w:tc>
        <w:tcPr>
          <w:tcW w:w="4177" w:type="dxa"/>
        </w:tcPr>
        <w:p w:rsidR="00C90982" w:rsidRDefault="00C90982" w:rsidP="00A64E75">
          <w:pPr>
            <w:keepLines/>
            <w:spacing w:before="100" w:after="60" w:line="190" w:lineRule="exact"/>
            <w:jc w:val="center"/>
            <w:rPr>
              <w:b/>
              <w:sz w:val="16"/>
            </w:rPr>
          </w:pPr>
          <w:r>
            <w:rPr>
              <w:b/>
              <w:sz w:val="16"/>
            </w:rPr>
            <w:t>Comment</w:t>
          </w:r>
          <w:r w:rsidR="00A64E75">
            <w:rPr>
              <w:b/>
              <w:sz w:val="16"/>
            </w:rPr>
            <w:t>s</w:t>
          </w:r>
        </w:p>
      </w:tc>
      <w:tc>
        <w:tcPr>
          <w:tcW w:w="4233" w:type="dxa"/>
        </w:tcPr>
        <w:p w:rsidR="00C90982" w:rsidRDefault="00C90982" w:rsidP="00A64E75">
          <w:pPr>
            <w:keepLines/>
            <w:spacing w:before="100" w:after="60" w:line="190" w:lineRule="exact"/>
            <w:jc w:val="center"/>
            <w:rPr>
              <w:b/>
              <w:sz w:val="16"/>
            </w:rPr>
          </w:pPr>
          <w:r>
            <w:rPr>
              <w:b/>
              <w:sz w:val="16"/>
            </w:rPr>
            <w:t>Proposed change</w:t>
          </w:r>
        </w:p>
      </w:tc>
      <w:tc>
        <w:tcPr>
          <w:tcW w:w="2419" w:type="dxa"/>
        </w:tcPr>
        <w:p w:rsidR="00C90982" w:rsidRDefault="00A64E75" w:rsidP="00A64E75">
          <w:pPr>
            <w:keepLines/>
            <w:spacing w:before="100" w:after="60" w:line="190" w:lineRule="exact"/>
            <w:jc w:val="center"/>
            <w:rPr>
              <w:b/>
              <w:sz w:val="16"/>
            </w:rPr>
          </w:pPr>
          <w:r>
            <w:rPr>
              <w:b/>
              <w:sz w:val="16"/>
            </w:rPr>
            <w:t>Observations of the secretariat</w:t>
          </w:r>
        </w:p>
      </w:tc>
    </w:tr>
  </w:tbl>
  <w:p w:rsidR="00A16159" w:rsidRDefault="00A16159">
    <w:pPr>
      <w:pStyle w:val="Header"/>
      <w:rPr>
        <w:sz w:val="2"/>
      </w:rPr>
    </w:pPr>
  </w:p>
  <w:p w:rsidR="00A16159" w:rsidRDefault="00A16159">
    <w:pPr>
      <w:pStyle w:val="Header"/>
      <w:spacing w:line="14" w:lineRule="exac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40" w:type="dxa"/>
      <w:jc w:val="center"/>
      <w:tblInd w:w="40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A16159">
      <w:trPr>
        <w:cantSplit/>
        <w:jc w:val="center"/>
      </w:trPr>
      <w:tc>
        <w:tcPr>
          <w:tcW w:w="8572" w:type="dxa"/>
          <w:tcBorders>
            <w:top w:val="nil"/>
            <w:left w:val="nil"/>
            <w:bottom w:val="nil"/>
            <w:right w:val="nil"/>
          </w:tcBorders>
        </w:tcPr>
        <w:p w:rsidR="00A16159" w:rsidRDefault="00A16159">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A16159" w:rsidRDefault="00A16159">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A16159" w:rsidRDefault="00A16159">
          <w:pPr>
            <w:pStyle w:val="ISOSecretObservations"/>
            <w:spacing w:before="60" w:after="60"/>
            <w:rPr>
              <w:bCs/>
            </w:rPr>
          </w:pPr>
          <w:r>
            <w:rPr>
              <w:bCs/>
            </w:rPr>
            <w:t>Document:</w:t>
          </w:r>
          <w:r>
            <w:rPr>
              <w:b/>
            </w:rPr>
            <w:t xml:space="preserve"> </w:t>
          </w:r>
          <w:r>
            <w:rPr>
              <w:b/>
              <w:sz w:val="20"/>
            </w:rPr>
            <w:t>ISO/</w:t>
          </w:r>
        </w:p>
      </w:tc>
    </w:tr>
  </w:tbl>
  <w:p w:rsidR="00A16159" w:rsidRDefault="00A16159">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A16159">
      <w:trPr>
        <w:cantSplit/>
        <w:jc w:val="center"/>
      </w:trPr>
      <w:tc>
        <w:tcPr>
          <w:tcW w:w="539" w:type="dxa"/>
        </w:tcPr>
        <w:p w:rsidR="00A16159" w:rsidRDefault="00A16159">
          <w:pPr>
            <w:keepLines/>
            <w:spacing w:before="40" w:after="40" w:line="180" w:lineRule="exact"/>
            <w:jc w:val="center"/>
            <w:rPr>
              <w:sz w:val="16"/>
            </w:rPr>
          </w:pPr>
          <w:r>
            <w:rPr>
              <w:sz w:val="16"/>
            </w:rPr>
            <w:t>1</w:t>
          </w:r>
        </w:p>
      </w:tc>
      <w:tc>
        <w:tcPr>
          <w:tcW w:w="1814" w:type="dxa"/>
        </w:tcPr>
        <w:p w:rsidR="00A16159" w:rsidRDefault="00A16159">
          <w:pPr>
            <w:keepLines/>
            <w:spacing w:before="40" w:after="40" w:line="180" w:lineRule="exact"/>
            <w:jc w:val="center"/>
            <w:rPr>
              <w:sz w:val="16"/>
            </w:rPr>
          </w:pPr>
          <w:r>
            <w:rPr>
              <w:sz w:val="16"/>
            </w:rPr>
            <w:t>2</w:t>
          </w:r>
        </w:p>
      </w:tc>
      <w:tc>
        <w:tcPr>
          <w:tcW w:w="1134" w:type="dxa"/>
        </w:tcPr>
        <w:p w:rsidR="00A16159" w:rsidRDefault="00A16159">
          <w:pPr>
            <w:keepLines/>
            <w:spacing w:before="40" w:after="40" w:line="180" w:lineRule="exact"/>
            <w:jc w:val="center"/>
            <w:rPr>
              <w:sz w:val="16"/>
            </w:rPr>
          </w:pPr>
          <w:r>
            <w:rPr>
              <w:sz w:val="16"/>
            </w:rPr>
            <w:t>3</w:t>
          </w:r>
        </w:p>
      </w:tc>
      <w:tc>
        <w:tcPr>
          <w:tcW w:w="709" w:type="dxa"/>
        </w:tcPr>
        <w:p w:rsidR="00A16159" w:rsidRDefault="00A16159">
          <w:pPr>
            <w:keepLines/>
            <w:spacing w:before="40" w:after="40" w:line="180" w:lineRule="exact"/>
            <w:jc w:val="center"/>
            <w:rPr>
              <w:sz w:val="16"/>
            </w:rPr>
          </w:pPr>
          <w:r>
            <w:rPr>
              <w:sz w:val="16"/>
            </w:rPr>
            <w:t>4</w:t>
          </w:r>
        </w:p>
      </w:tc>
      <w:tc>
        <w:tcPr>
          <w:tcW w:w="4394" w:type="dxa"/>
        </w:tcPr>
        <w:p w:rsidR="00A16159" w:rsidRDefault="00A16159">
          <w:pPr>
            <w:keepLines/>
            <w:spacing w:before="40" w:after="40" w:line="180" w:lineRule="exact"/>
            <w:jc w:val="center"/>
            <w:rPr>
              <w:sz w:val="16"/>
            </w:rPr>
          </w:pPr>
          <w:r>
            <w:rPr>
              <w:sz w:val="16"/>
            </w:rPr>
            <w:t>5</w:t>
          </w:r>
        </w:p>
      </w:tc>
      <w:tc>
        <w:tcPr>
          <w:tcW w:w="3828" w:type="dxa"/>
        </w:tcPr>
        <w:p w:rsidR="00A16159" w:rsidRDefault="00A16159">
          <w:pPr>
            <w:keepLines/>
            <w:spacing w:before="40" w:after="40" w:line="180" w:lineRule="exact"/>
            <w:jc w:val="center"/>
            <w:rPr>
              <w:sz w:val="16"/>
            </w:rPr>
          </w:pPr>
          <w:r>
            <w:rPr>
              <w:sz w:val="16"/>
            </w:rPr>
            <w:t>6</w:t>
          </w:r>
        </w:p>
      </w:tc>
      <w:tc>
        <w:tcPr>
          <w:tcW w:w="3459" w:type="dxa"/>
        </w:tcPr>
        <w:p w:rsidR="00A16159" w:rsidRDefault="00A16159">
          <w:pPr>
            <w:keepLines/>
            <w:spacing w:before="40" w:after="40" w:line="180" w:lineRule="exact"/>
            <w:jc w:val="center"/>
            <w:rPr>
              <w:sz w:val="16"/>
            </w:rPr>
          </w:pPr>
          <w:r>
            <w:rPr>
              <w:sz w:val="16"/>
            </w:rPr>
            <w:t>7</w:t>
          </w:r>
        </w:p>
      </w:tc>
    </w:tr>
    <w:tr w:rsidR="00A16159">
      <w:trPr>
        <w:cantSplit/>
        <w:jc w:val="center"/>
      </w:trPr>
      <w:tc>
        <w:tcPr>
          <w:tcW w:w="539" w:type="dxa"/>
        </w:tcPr>
        <w:p w:rsidR="00A16159" w:rsidRDefault="00A16159">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A16159" w:rsidRDefault="00A16159">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rsidR="00A16159" w:rsidRDefault="00A16159">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A16159" w:rsidRDefault="00A16159">
          <w:pPr>
            <w:keepLines/>
            <w:spacing w:before="100" w:after="60" w:line="190" w:lineRule="exact"/>
            <w:jc w:val="center"/>
            <w:rPr>
              <w:b/>
              <w:sz w:val="16"/>
            </w:rPr>
          </w:pPr>
          <w:r>
            <w:rPr>
              <w:b/>
              <w:sz w:val="16"/>
            </w:rPr>
            <w:t>Type of com-ment</w:t>
          </w:r>
          <w:r>
            <w:rPr>
              <w:b/>
              <w:bCs/>
              <w:position w:val="6"/>
              <w:sz w:val="12"/>
            </w:rPr>
            <w:t>2</w:t>
          </w:r>
        </w:p>
      </w:tc>
      <w:tc>
        <w:tcPr>
          <w:tcW w:w="4394" w:type="dxa"/>
        </w:tcPr>
        <w:p w:rsidR="00A16159" w:rsidRDefault="00A16159">
          <w:pPr>
            <w:keepLines/>
            <w:spacing w:before="100" w:after="60" w:line="190" w:lineRule="exact"/>
            <w:jc w:val="center"/>
            <w:rPr>
              <w:b/>
              <w:sz w:val="16"/>
            </w:rPr>
          </w:pPr>
          <w:r>
            <w:rPr>
              <w:b/>
              <w:sz w:val="16"/>
            </w:rPr>
            <w:t>Comment (justification for change)</w:t>
          </w:r>
        </w:p>
      </w:tc>
      <w:tc>
        <w:tcPr>
          <w:tcW w:w="3828" w:type="dxa"/>
        </w:tcPr>
        <w:p w:rsidR="00A16159" w:rsidRDefault="00A16159">
          <w:pPr>
            <w:keepLines/>
            <w:spacing w:before="100" w:after="60" w:line="190" w:lineRule="exact"/>
            <w:jc w:val="center"/>
            <w:rPr>
              <w:b/>
              <w:sz w:val="16"/>
            </w:rPr>
          </w:pPr>
          <w:r>
            <w:rPr>
              <w:b/>
              <w:sz w:val="16"/>
            </w:rPr>
            <w:t>Proposed change</w:t>
          </w:r>
        </w:p>
      </w:tc>
      <w:tc>
        <w:tcPr>
          <w:tcW w:w="3459" w:type="dxa"/>
        </w:tcPr>
        <w:p w:rsidR="00A16159" w:rsidRDefault="00A16159">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A16159" w:rsidRDefault="00A16159">
    <w:pPr>
      <w:pStyle w:val="Header"/>
      <w:rPr>
        <w:sz w:val="2"/>
      </w:rPr>
    </w:pPr>
  </w:p>
  <w:p w:rsidR="00A16159" w:rsidRDefault="00A1615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CA"/>
    <w:multiLevelType w:val="hybridMultilevel"/>
    <w:tmpl w:val="AA64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12469"/>
    <w:multiLevelType w:val="hybridMultilevel"/>
    <w:tmpl w:val="2048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intFractionalCharacterWidth/>
  <w:attachedTemplate r:id="rId1"/>
  <w:defaultTabStop w:val="8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974ISO" w:val="-1"/>
  </w:docVars>
  <w:rsids>
    <w:rsidRoot w:val="00DD353B"/>
    <w:rsid w:val="0016530C"/>
    <w:rsid w:val="0019121D"/>
    <w:rsid w:val="001D733B"/>
    <w:rsid w:val="002A1BE0"/>
    <w:rsid w:val="00314348"/>
    <w:rsid w:val="00387E3D"/>
    <w:rsid w:val="00395636"/>
    <w:rsid w:val="003C5DC9"/>
    <w:rsid w:val="003C6559"/>
    <w:rsid w:val="004C6E8C"/>
    <w:rsid w:val="004E0865"/>
    <w:rsid w:val="00540C31"/>
    <w:rsid w:val="00592D52"/>
    <w:rsid w:val="0067102E"/>
    <w:rsid w:val="006736A3"/>
    <w:rsid w:val="006D5F9C"/>
    <w:rsid w:val="0076130B"/>
    <w:rsid w:val="007E2E99"/>
    <w:rsid w:val="00826D4E"/>
    <w:rsid w:val="0091152F"/>
    <w:rsid w:val="009330ED"/>
    <w:rsid w:val="009462C5"/>
    <w:rsid w:val="00957F0F"/>
    <w:rsid w:val="009C711A"/>
    <w:rsid w:val="009D12C7"/>
    <w:rsid w:val="009E2BDA"/>
    <w:rsid w:val="00A16159"/>
    <w:rsid w:val="00A63938"/>
    <w:rsid w:val="00A64E75"/>
    <w:rsid w:val="00AE60D1"/>
    <w:rsid w:val="00AF7C69"/>
    <w:rsid w:val="00B0714A"/>
    <w:rsid w:val="00B84207"/>
    <w:rsid w:val="00BF6B60"/>
    <w:rsid w:val="00C73849"/>
    <w:rsid w:val="00C90982"/>
    <w:rsid w:val="00D74D95"/>
    <w:rsid w:val="00DD353B"/>
    <w:rsid w:val="00E666F7"/>
    <w:rsid w:val="00EC1B50"/>
    <w:rsid w:val="00EC5739"/>
    <w:rsid w:val="00EE405A"/>
    <w:rsid w:val="00FE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lang w:val="en-GB"/>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emiHidden/>
  </w:style>
  <w:style w:type="paragraph" w:styleId="Footer">
    <w:name w:val="footer"/>
    <w:basedOn w:val="Normal"/>
    <w:semiHidden/>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semiHidden/>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character" w:styleId="Hyperlink">
    <w:name w:val="Hyperlink"/>
    <w:basedOn w:val="DefaultParagraphFont"/>
    <w:uiPriority w:val="99"/>
    <w:unhideWhenUsed/>
    <w:rsid w:val="00DD353B"/>
    <w:rPr>
      <w:color w:val="0000FF" w:themeColor="hyperlink"/>
      <w:u w:val="single"/>
    </w:rPr>
  </w:style>
  <w:style w:type="character" w:styleId="CommentReference">
    <w:name w:val="annotation reference"/>
    <w:basedOn w:val="DefaultParagraphFont"/>
    <w:uiPriority w:val="99"/>
    <w:semiHidden/>
    <w:unhideWhenUsed/>
    <w:rsid w:val="006D5F9C"/>
    <w:rPr>
      <w:sz w:val="16"/>
      <w:szCs w:val="16"/>
    </w:rPr>
  </w:style>
  <w:style w:type="paragraph" w:styleId="CommentText">
    <w:name w:val="annotation text"/>
    <w:basedOn w:val="Normal"/>
    <w:link w:val="CommentTextChar"/>
    <w:uiPriority w:val="99"/>
    <w:semiHidden/>
    <w:unhideWhenUsed/>
    <w:rsid w:val="006D5F9C"/>
    <w:rPr>
      <w:sz w:val="20"/>
    </w:rPr>
  </w:style>
  <w:style w:type="character" w:customStyle="1" w:styleId="CommentTextChar">
    <w:name w:val="Comment Text Char"/>
    <w:basedOn w:val="DefaultParagraphFont"/>
    <w:link w:val="CommentText"/>
    <w:uiPriority w:val="99"/>
    <w:semiHidden/>
    <w:rsid w:val="006D5F9C"/>
    <w:rPr>
      <w:rFonts w:ascii="Arial" w:hAnsi="Arial"/>
      <w:lang w:val="en-GB"/>
    </w:rPr>
  </w:style>
  <w:style w:type="paragraph" w:styleId="CommentSubject">
    <w:name w:val="annotation subject"/>
    <w:basedOn w:val="CommentText"/>
    <w:next w:val="CommentText"/>
    <w:link w:val="CommentSubjectChar"/>
    <w:uiPriority w:val="99"/>
    <w:semiHidden/>
    <w:unhideWhenUsed/>
    <w:rsid w:val="006D5F9C"/>
    <w:rPr>
      <w:b/>
      <w:bCs/>
    </w:rPr>
  </w:style>
  <w:style w:type="character" w:customStyle="1" w:styleId="CommentSubjectChar">
    <w:name w:val="Comment Subject Char"/>
    <w:basedOn w:val="CommentTextChar"/>
    <w:link w:val="CommentSubject"/>
    <w:uiPriority w:val="99"/>
    <w:semiHidden/>
    <w:rsid w:val="006D5F9C"/>
    <w:rPr>
      <w:rFonts w:ascii="Arial" w:hAnsi="Arial"/>
      <w:b/>
      <w:bCs/>
      <w:lang w:val="en-GB"/>
    </w:rPr>
  </w:style>
  <w:style w:type="paragraph" w:styleId="BalloonText">
    <w:name w:val="Balloon Text"/>
    <w:basedOn w:val="Normal"/>
    <w:link w:val="BalloonTextChar"/>
    <w:uiPriority w:val="99"/>
    <w:semiHidden/>
    <w:unhideWhenUsed/>
    <w:rsid w:val="006D5F9C"/>
    <w:rPr>
      <w:rFonts w:ascii="Tahoma" w:hAnsi="Tahoma" w:cs="Tahoma"/>
      <w:sz w:val="16"/>
      <w:szCs w:val="16"/>
    </w:rPr>
  </w:style>
  <w:style w:type="character" w:customStyle="1" w:styleId="BalloonTextChar">
    <w:name w:val="Balloon Text Char"/>
    <w:basedOn w:val="DefaultParagraphFont"/>
    <w:link w:val="BalloonText"/>
    <w:uiPriority w:val="99"/>
    <w:semiHidden/>
    <w:rsid w:val="006D5F9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lang w:val="en-GB"/>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emiHidden/>
  </w:style>
  <w:style w:type="paragraph" w:styleId="Footer">
    <w:name w:val="footer"/>
    <w:basedOn w:val="Normal"/>
    <w:semiHidden/>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semiHidden/>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character" w:styleId="Hyperlink">
    <w:name w:val="Hyperlink"/>
    <w:basedOn w:val="DefaultParagraphFont"/>
    <w:uiPriority w:val="99"/>
    <w:unhideWhenUsed/>
    <w:rsid w:val="00DD353B"/>
    <w:rPr>
      <w:color w:val="0000FF" w:themeColor="hyperlink"/>
      <w:u w:val="single"/>
    </w:rPr>
  </w:style>
  <w:style w:type="character" w:styleId="CommentReference">
    <w:name w:val="annotation reference"/>
    <w:basedOn w:val="DefaultParagraphFont"/>
    <w:uiPriority w:val="99"/>
    <w:semiHidden/>
    <w:unhideWhenUsed/>
    <w:rsid w:val="006D5F9C"/>
    <w:rPr>
      <w:sz w:val="16"/>
      <w:szCs w:val="16"/>
    </w:rPr>
  </w:style>
  <w:style w:type="paragraph" w:styleId="CommentText">
    <w:name w:val="annotation text"/>
    <w:basedOn w:val="Normal"/>
    <w:link w:val="CommentTextChar"/>
    <w:uiPriority w:val="99"/>
    <w:semiHidden/>
    <w:unhideWhenUsed/>
    <w:rsid w:val="006D5F9C"/>
    <w:rPr>
      <w:sz w:val="20"/>
    </w:rPr>
  </w:style>
  <w:style w:type="character" w:customStyle="1" w:styleId="CommentTextChar">
    <w:name w:val="Comment Text Char"/>
    <w:basedOn w:val="DefaultParagraphFont"/>
    <w:link w:val="CommentText"/>
    <w:uiPriority w:val="99"/>
    <w:semiHidden/>
    <w:rsid w:val="006D5F9C"/>
    <w:rPr>
      <w:rFonts w:ascii="Arial" w:hAnsi="Arial"/>
      <w:lang w:val="en-GB"/>
    </w:rPr>
  </w:style>
  <w:style w:type="paragraph" w:styleId="CommentSubject">
    <w:name w:val="annotation subject"/>
    <w:basedOn w:val="CommentText"/>
    <w:next w:val="CommentText"/>
    <w:link w:val="CommentSubjectChar"/>
    <w:uiPriority w:val="99"/>
    <w:semiHidden/>
    <w:unhideWhenUsed/>
    <w:rsid w:val="006D5F9C"/>
    <w:rPr>
      <w:b/>
      <w:bCs/>
    </w:rPr>
  </w:style>
  <w:style w:type="character" w:customStyle="1" w:styleId="CommentSubjectChar">
    <w:name w:val="Comment Subject Char"/>
    <w:basedOn w:val="CommentTextChar"/>
    <w:link w:val="CommentSubject"/>
    <w:uiPriority w:val="99"/>
    <w:semiHidden/>
    <w:rsid w:val="006D5F9C"/>
    <w:rPr>
      <w:rFonts w:ascii="Arial" w:hAnsi="Arial"/>
      <w:b/>
      <w:bCs/>
      <w:lang w:val="en-GB"/>
    </w:rPr>
  </w:style>
  <w:style w:type="paragraph" w:styleId="BalloonText">
    <w:name w:val="Balloon Text"/>
    <w:basedOn w:val="Normal"/>
    <w:link w:val="BalloonTextChar"/>
    <w:uiPriority w:val="99"/>
    <w:semiHidden/>
    <w:unhideWhenUsed/>
    <w:rsid w:val="006D5F9C"/>
    <w:rPr>
      <w:rFonts w:ascii="Tahoma" w:hAnsi="Tahoma" w:cs="Tahoma"/>
      <w:sz w:val="16"/>
      <w:szCs w:val="16"/>
    </w:rPr>
  </w:style>
  <w:style w:type="character" w:customStyle="1" w:styleId="BalloonTextChar">
    <w:name w:val="Balloon Text Char"/>
    <w:basedOn w:val="DefaultParagraphFont"/>
    <w:link w:val="BalloonText"/>
    <w:uiPriority w:val="99"/>
    <w:semiHidden/>
    <w:rsid w:val="006D5F9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43794">
      <w:bodyDiv w:val="1"/>
      <w:marLeft w:val="0"/>
      <w:marRight w:val="0"/>
      <w:marTop w:val="0"/>
      <w:marBottom w:val="0"/>
      <w:divBdr>
        <w:top w:val="none" w:sz="0" w:space="0" w:color="auto"/>
        <w:left w:val="none" w:sz="0" w:space="0" w:color="auto"/>
        <w:bottom w:val="none" w:sz="0" w:space="0" w:color="auto"/>
        <w:right w:val="none" w:sz="0" w:space="0" w:color="auto"/>
      </w:divBdr>
    </w:div>
    <w:div w:id="5659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lists.oasis-open.org/archives/oasis-charter-discuss/201407/msg000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GA%20Biometrics\SDOs\SC37\Forms\ISO_Comment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ISO_Comments_Template</Template>
  <TotalTime>26</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Noblis comments</vt:lpstr>
    </vt:vector>
  </TitlesOfParts>
  <Manager>Dan Bachenheimer</Manager>
  <Company>Accenture</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Accenture comments</dc:title>
  <dc:subject>OASIS BOPS TC draft charter</dc:subject>
  <dc:creator>Dan Bachenheimer</dc:creator>
  <cp:lastModifiedBy>John Mayer-Splain</cp:lastModifiedBy>
  <cp:revision>6</cp:revision>
  <cp:lastPrinted>2001-10-25T18:04:00Z</cp:lastPrinted>
  <dcterms:created xsi:type="dcterms:W3CDTF">2014-07-17T17:52:00Z</dcterms:created>
  <dcterms:modified xsi:type="dcterms:W3CDTF">2014-07-18T12:27:00Z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