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19121D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>
            <w:pPr>
              <w:pStyle w:val="ISOClause"/>
              <w:spacing w:before="60" w:after="60" w:line="240" w:lineRule="auto"/>
            </w:pPr>
            <w:r>
              <w:t>All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 w:rsidP="004A572A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 w:rsidP="004A572A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 w:rsidP="004A572A">
            <w:pPr>
              <w:pStyle w:val="ISOCommType"/>
              <w:spacing w:before="60" w:after="60" w:line="240" w:lineRule="auto"/>
            </w:pPr>
            <w:r>
              <w:t>Ge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76130B" w:rsidP="0076130B">
            <w:pPr>
              <w:pStyle w:val="ISOComments"/>
              <w:spacing w:before="60" w:after="60" w:line="240" w:lineRule="auto"/>
            </w:pPr>
            <w:r>
              <w:t>The OASIS Biometric Open Protocol Specification (BOPS) Technical Committee (TC) draft charter makes mention of expertise and existing work in biometrics (INCITS M1 – Biometrics, JTC 1/SC 37 – Biometrics), web services (OASIS Biometrics TC), and IT Security Techniques (INCITS CS1, JTC 1/SC 27). More specific comments follow.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2A1BE0" w:rsidP="004A572A">
            <w:pPr>
              <w:pStyle w:val="ISOChange"/>
              <w:spacing w:before="60" w:after="60" w:line="240" w:lineRule="auto"/>
            </w:pPr>
            <w:r>
              <w:t xml:space="preserve">State more clearly how this work is </w:t>
            </w:r>
            <w:r w:rsidRPr="002A1BE0">
              <w:t>separate, distinct, non-duplicative of, and will liaise with the work of</w:t>
            </w:r>
            <w:r>
              <w:t xml:space="preserve"> other entities involved in biometrics, web services, and IT Security Techniques.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19121D" w:rsidRDefault="0019121D">
            <w:pPr>
              <w:pStyle w:val="ISOSecretObservations"/>
              <w:spacing w:before="60" w:after="60" w:line="240" w:lineRule="auto"/>
            </w:pPr>
          </w:p>
        </w:tc>
      </w:tr>
      <w:tr w:rsidR="0076130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>
            <w:pPr>
              <w:pStyle w:val="ISOClause"/>
              <w:spacing w:before="60" w:after="60" w:line="240" w:lineRule="auto"/>
            </w:pPr>
            <w:r>
              <w:t>All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76130B">
            <w:pPr>
              <w:pStyle w:val="ISOComments"/>
              <w:spacing w:before="60" w:after="60" w:line="240" w:lineRule="auto"/>
            </w:pPr>
            <w:r>
              <w:t>The OASIS BOPS TC draft charter makes no mention of the existing OASIS Biometrics TC. W</w:t>
            </w:r>
            <w:r w:rsidRPr="0019121D">
              <w:t xml:space="preserve">hy is </w:t>
            </w:r>
            <w:r>
              <w:t xml:space="preserve">this TC </w:t>
            </w:r>
            <w:r w:rsidRPr="0019121D">
              <w:t>being proposed independent of, with no acknowledgement of, nor liaison with the existing OASIS Biometrics TC</w:t>
            </w:r>
            <w:r>
              <w:t>?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FE17F6" w:rsidP="004A572A">
            <w:pPr>
              <w:pStyle w:val="ISOChange"/>
              <w:spacing w:before="60" w:after="60" w:line="240" w:lineRule="auto"/>
            </w:pPr>
            <w:r>
              <w:t>P</w:t>
            </w:r>
            <w:r w:rsidR="0076130B">
              <w:t>ropos</w:t>
            </w:r>
            <w:r>
              <w:t>e</w:t>
            </w:r>
            <w:r w:rsidR="0076130B">
              <w:t xml:space="preserve"> this effort as a deliverable of the existing OASIS Biometrics TC</w:t>
            </w:r>
          </w:p>
          <w:p w:rsidR="0076130B" w:rsidRDefault="0076130B" w:rsidP="004A572A">
            <w:pPr>
              <w:pStyle w:val="ISOChange"/>
              <w:spacing w:before="60" w:after="60" w:line="240" w:lineRule="auto"/>
            </w:pPr>
            <w:r>
              <w:t xml:space="preserve">– or – </w:t>
            </w:r>
          </w:p>
          <w:p w:rsidR="0076130B" w:rsidRDefault="0076130B" w:rsidP="00FE17F6">
            <w:pPr>
              <w:pStyle w:val="ISOChange"/>
              <w:spacing w:before="60" w:after="60" w:line="240" w:lineRule="auto"/>
            </w:pPr>
            <w:r>
              <w:t>State clearly in a revised BOPS TC draft charter why this effort is separate, distinct, non-duplicative</w:t>
            </w:r>
            <w:r w:rsidR="00FE17F6">
              <w:t xml:space="preserve"> of</w:t>
            </w:r>
            <w:r>
              <w:t>, and will liai</w:t>
            </w:r>
            <w:r w:rsidR="00FE17F6">
              <w:t>se with</w:t>
            </w:r>
            <w:r>
              <w:t xml:space="preserve"> the work of the existing </w:t>
            </w:r>
            <w:r w:rsidR="00FE17F6">
              <w:t xml:space="preserve">OASIS </w:t>
            </w:r>
            <w:r>
              <w:t>Biometrics TC</w:t>
            </w:r>
            <w:r w:rsidR="00FE17F6">
              <w:t>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>
            <w:pPr>
              <w:pStyle w:val="ISOSecretObservations"/>
              <w:spacing w:before="60" w:after="60" w:line="240" w:lineRule="auto"/>
            </w:pPr>
          </w:p>
        </w:tc>
      </w:tr>
      <w:tr w:rsidR="0076130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381509">
            <w:pPr>
              <w:pStyle w:val="ISOClause"/>
              <w:spacing w:before="60" w:after="60" w:line="240" w:lineRule="auto"/>
            </w:pPr>
            <w:r>
              <w:t>All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38150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381509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381509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0855BA">
            <w:pPr>
              <w:pStyle w:val="ISOComments"/>
              <w:spacing w:before="60" w:after="60" w:line="240" w:lineRule="auto"/>
            </w:pPr>
            <w:r>
              <w:t>The OASIS BOPS TC draft charter makes no mention of expertise and existing work in biometrics (INCITS M1 – Biometrics, JTC 1/SC37 – Biometrics).</w:t>
            </w:r>
            <w:r w:rsidR="00B84207">
              <w:t xml:space="preserve"> Whether this effort progresses as a separate TC or as a deliverable of the OASIS Biometrics TC, it should reference existing and developing standards of SC 37 – Biometrics</w:t>
            </w:r>
            <w:r w:rsidR="000855BA">
              <w:t>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B84207" w:rsidP="000855BA">
            <w:pPr>
              <w:pStyle w:val="ISOChange"/>
              <w:spacing w:before="60" w:after="60" w:line="240" w:lineRule="auto"/>
            </w:pPr>
            <w:r>
              <w:t>R</w:t>
            </w:r>
            <w:r w:rsidRPr="00B84207">
              <w:t>eference existing and developing standards of SC 37 – Biometrics, e.g.</w:t>
            </w:r>
            <w:r w:rsidR="000855BA">
              <w:br/>
              <w:t xml:space="preserve">- </w:t>
            </w:r>
            <w:r w:rsidRPr="00B84207">
              <w:t>19794, Information technology -- Bio</w:t>
            </w:r>
            <w:r w:rsidR="001D733B">
              <w:t>metric data interchange formats</w:t>
            </w:r>
            <w:r w:rsidR="000855BA">
              <w:br/>
              <w:t xml:space="preserve">- 29794, </w:t>
            </w:r>
            <w:r w:rsidR="001D733B" w:rsidRPr="001D733B">
              <w:t>Information technology -- Biometric sample quality</w:t>
            </w:r>
            <w:r w:rsidR="000855BA">
              <w:br/>
              <w:t xml:space="preserve">- </w:t>
            </w:r>
            <w:r w:rsidR="000855BA" w:rsidRPr="000855BA">
              <w:t>30108, Biometric Ide</w:t>
            </w:r>
            <w:r w:rsidR="000855BA">
              <w:t>ntity Assurance Services (BIAS)</w:t>
            </w:r>
            <w:r w:rsidR="000855BA">
              <w:br/>
              <w:t xml:space="preserve">- </w:t>
            </w:r>
            <w:r w:rsidR="000855BA" w:rsidRPr="000855BA">
              <w:t>30125</w:t>
            </w:r>
            <w:r w:rsidR="000855BA">
              <w:t>,</w:t>
            </w:r>
            <w:r w:rsidR="000855BA" w:rsidRPr="000855BA">
              <w:t xml:space="preserve"> Biometrics used with mobile devices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>
            <w:pPr>
              <w:pStyle w:val="ISOSecretObservations"/>
              <w:spacing w:before="60" w:after="60" w:line="240" w:lineRule="auto"/>
            </w:pPr>
          </w:p>
        </w:tc>
      </w:tr>
      <w:tr w:rsidR="00FE17F6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FE17F6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FE17F6" w:rsidP="00381509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2A1BE0" w:rsidRDefault="002A1BE0" w:rsidP="00381509">
            <w:pPr>
              <w:pStyle w:val="ISOClause"/>
              <w:spacing w:before="60" w:after="60" w:line="240" w:lineRule="auto"/>
            </w:pPr>
            <w:r>
              <w:t>(1)(b)</w:t>
            </w:r>
          </w:p>
          <w:p w:rsidR="00FE17F6" w:rsidRDefault="002A1BE0" w:rsidP="00381509">
            <w:pPr>
              <w:pStyle w:val="ISOClause"/>
              <w:spacing w:before="60" w:after="60" w:line="240" w:lineRule="auto"/>
            </w:pPr>
            <w:r>
              <w:t>(1)(c)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2A1BE0" w:rsidP="00381509">
            <w:pPr>
              <w:pStyle w:val="ISOParagraph"/>
              <w:spacing w:before="60" w:after="60" w:line="240" w:lineRule="auto"/>
            </w:pPr>
            <w:r>
              <w:t>¶1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FE17F6" w:rsidP="00381509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A1BE0" w:rsidRDefault="002A1BE0" w:rsidP="00381509">
            <w:pPr>
              <w:pStyle w:val="ISOComments"/>
              <w:spacing w:before="60" w:after="60" w:line="240" w:lineRule="auto"/>
            </w:pPr>
            <w:r>
              <w:t>The Statement of Purpose and Scope are not in agreement.</w:t>
            </w:r>
          </w:p>
          <w:p w:rsidR="002A1BE0" w:rsidRDefault="002A1BE0" w:rsidP="00381509">
            <w:pPr>
              <w:pStyle w:val="ISOComments"/>
              <w:spacing w:before="60" w:after="60" w:line="240" w:lineRule="auto"/>
            </w:pPr>
            <w:r>
              <w:t>The Statement of Purpose states, “</w:t>
            </w:r>
            <w:r w:rsidRPr="002A1BE0">
              <w:t>This goal of this Technical Committee is to develop the Biometric Open Protocol Standard (BOPS) with the aim to protect digital assets and digital identities on the server</w:t>
            </w:r>
            <w:r>
              <w:t>”.</w:t>
            </w:r>
          </w:p>
          <w:p w:rsidR="00FE17F6" w:rsidRDefault="002A1BE0" w:rsidP="002A1BE0">
            <w:pPr>
              <w:pStyle w:val="ISOComments"/>
              <w:spacing w:before="60" w:after="60" w:line="240" w:lineRule="auto"/>
            </w:pPr>
            <w:r>
              <w:t>The Scope states “</w:t>
            </w:r>
            <w:r w:rsidRPr="002A1BE0">
              <w:t>BOPS will define how software running on a client device</w:t>
            </w:r>
            <w:r>
              <w:t>…”.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2A1BE0" w:rsidP="004A572A">
            <w:pPr>
              <w:pStyle w:val="ISOChange"/>
              <w:spacing w:before="60" w:after="60" w:line="240" w:lineRule="auto"/>
            </w:pPr>
            <w:r>
              <w:t>Revise the Statement of Purpose and Scope to state clearly whether this effort will protect digital assets on the server, the client, or both.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FE17F6" w:rsidRDefault="00FE17F6">
            <w:pPr>
              <w:pStyle w:val="ISOSecretObservations"/>
              <w:spacing w:before="60" w:after="60" w:line="240" w:lineRule="auto"/>
            </w:pPr>
          </w:p>
        </w:tc>
      </w:tr>
      <w:tr w:rsidR="0076130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Clause"/>
              <w:spacing w:before="60" w:after="60" w:line="240" w:lineRule="auto"/>
            </w:pPr>
            <w:r>
              <w:t>(1)(d)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Paragraph"/>
              <w:spacing w:before="60" w:after="60" w:line="240" w:lineRule="auto"/>
            </w:pPr>
            <w:r>
              <w:t>¶1, 1</w:t>
            </w:r>
            <w:r w:rsidRPr="0019121D">
              <w:rPr>
                <w:vertAlign w:val="superscript"/>
              </w:rPr>
              <w:t>st</w:t>
            </w:r>
            <w:r>
              <w:t xml:space="preserve"> bullet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19121D">
            <w:pPr>
              <w:pStyle w:val="ISOComments"/>
              <w:spacing w:before="60" w:after="60" w:line="240" w:lineRule="auto"/>
            </w:pPr>
            <w:r>
              <w:t>The OASIS BOPS TC draft charter states “</w:t>
            </w:r>
            <w:r w:rsidRPr="0019121D">
              <w:t>The solution offers the minimum criteria necessary for liveness</w:t>
            </w:r>
            <w:r>
              <w:t xml:space="preserve">…”, but makes no mention of the work in this area in JTC 1 / SC 37; specifically the multi-part standard ISO/IEC 30107, Presentation Attack Detection (PAD). Whether this effort progresses as a separate TC or as a deliverable of the </w:t>
            </w:r>
            <w:r w:rsidR="00B84207">
              <w:t xml:space="preserve">OASIS </w:t>
            </w:r>
            <w:r>
              <w:t>Biometrics TC, it should reference the work of ISO/IEC 30107.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 w:rsidP="004A572A">
            <w:pPr>
              <w:pStyle w:val="ISOChange"/>
              <w:spacing w:before="60" w:after="60" w:line="240" w:lineRule="auto"/>
            </w:pPr>
            <w:r>
              <w:t>Insert reference(s) to ISO/IEC 30107, Presentation Attack Detection.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6130B" w:rsidRDefault="0076130B">
            <w:pPr>
              <w:pStyle w:val="ISOSecretObservations"/>
              <w:spacing w:before="60" w:after="60" w:line="240" w:lineRule="auto"/>
            </w:pPr>
          </w:p>
        </w:tc>
      </w:tr>
      <w:tr w:rsidR="001D733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DD353B">
            <w:pPr>
              <w:pStyle w:val="ISOMB"/>
              <w:numPr>
                <w:ilvl w:val="0"/>
                <w:numId w:val="1"/>
              </w:numPr>
              <w:spacing w:before="60" w:after="60" w:line="240" w:lineRule="auto"/>
              <w:ind w:left="0" w:firstLine="0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4A572A">
            <w:pPr>
              <w:pStyle w:val="ISOClause"/>
              <w:spacing w:before="60" w:after="60" w:line="240" w:lineRule="auto"/>
            </w:pPr>
            <w:r>
              <w:t>(2)(a)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4A572A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4A572A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1D733B">
            <w:pPr>
              <w:pStyle w:val="ISOComments"/>
              <w:spacing w:before="60" w:after="60" w:line="240" w:lineRule="auto"/>
            </w:pPr>
            <w:r>
              <w:t>(2)(a) states incorrectly there is no similar work underway.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 w:rsidP="004A572A">
            <w:pPr>
              <w:pStyle w:val="ISOChange"/>
              <w:spacing w:before="60" w:after="60" w:line="240" w:lineRule="auto"/>
            </w:pPr>
            <w:r>
              <w:t>State clearly how this effort relates to: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INCITS B10 – Identification Cards and Related Devices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INCITS CS1 – Cybersecurity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INCITS M1 – Biometrics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JTC 1/SC 17 – Cards and personal identification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JTC 1/SC 27 – IT Security Techniques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 xml:space="preserve">JTC 1/SC 37 – Biometrics </w:t>
            </w:r>
          </w:p>
          <w:p w:rsidR="001D733B" w:rsidRDefault="001D733B" w:rsidP="001D733B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</w:pPr>
            <w:r>
              <w:t>OASIS Biometrics TC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1D733B" w:rsidRDefault="001D733B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4E" w:rsidRDefault="00826D4E">
      <w:r>
        <w:separator/>
      </w:r>
    </w:p>
  </w:endnote>
  <w:endnote w:type="continuationSeparator" w:id="0">
    <w:p w:rsidR="00826D4E" w:rsidRDefault="008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013654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013654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D353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4E" w:rsidRDefault="00826D4E">
      <w:r>
        <w:separator/>
      </w:r>
    </w:p>
  </w:footnote>
  <w:footnote w:type="continuationSeparator" w:id="0">
    <w:p w:rsidR="00826D4E" w:rsidRDefault="0082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DD353B" w:rsidP="00DD353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Noblis </w:t>
          </w:r>
          <w:r w:rsidR="0016530C">
            <w:rPr>
              <w:rStyle w:val="MTEquationSection"/>
              <w:b/>
              <w:bCs/>
              <w:color w:val="auto"/>
              <w:sz w:val="22"/>
            </w:rPr>
            <w:t>Comments on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OASIS Biometric Open Protocol Specification (BOPS) Technical Committee (TC) draft charter</w:t>
          </w:r>
        </w:p>
        <w:p w:rsidR="00DD353B" w:rsidRDefault="00013654" w:rsidP="00DD353B">
          <w:pPr>
            <w:pStyle w:val="ISOComments"/>
            <w:spacing w:before="60" w:after="60"/>
          </w:pPr>
          <w:hyperlink r:id="rId1" w:history="1">
            <w:r w:rsidR="00DD353B" w:rsidRPr="00BB4E35">
              <w:rPr>
                <w:rStyle w:val="Hyperlink"/>
              </w:rPr>
              <w:t>https://lists.oasis-open.org/archives/oasis-charter-discuss/201407/msg00000.html</w:t>
            </w:r>
          </w:hyperlink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DD353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013654">
            <w:rPr>
              <w:bCs/>
            </w:rPr>
            <w:t>07/20</w:t>
          </w:r>
          <w:r w:rsidR="0016530C">
            <w:rPr>
              <w:bCs/>
            </w:rPr>
            <w:t>/2014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 w:rsidP="0016530C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 w:rsidP="0016530C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 w:rsidR="0067102E">
            <w:rPr>
              <w:bCs/>
              <w:sz w:val="20"/>
            </w:rPr>
            <w:t xml:space="preserve"> </w:t>
          </w:r>
        </w:p>
      </w:tc>
    </w:tr>
  </w:tbl>
  <w:p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CA"/>
    <w:multiLevelType w:val="hybridMultilevel"/>
    <w:tmpl w:val="AA64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2469"/>
    <w:multiLevelType w:val="hybridMultilevel"/>
    <w:tmpl w:val="2048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attachedTemplate r:id="rId1"/>
  <w:defaultTabStop w:val="8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DD353B"/>
    <w:rsid w:val="00013654"/>
    <w:rsid w:val="000855BA"/>
    <w:rsid w:val="0016530C"/>
    <w:rsid w:val="0019121D"/>
    <w:rsid w:val="001D733B"/>
    <w:rsid w:val="002A1BE0"/>
    <w:rsid w:val="00314348"/>
    <w:rsid w:val="00387E3D"/>
    <w:rsid w:val="00395636"/>
    <w:rsid w:val="003C6559"/>
    <w:rsid w:val="004C6E8C"/>
    <w:rsid w:val="004E0865"/>
    <w:rsid w:val="00540C31"/>
    <w:rsid w:val="0067102E"/>
    <w:rsid w:val="0076130B"/>
    <w:rsid w:val="007E2E99"/>
    <w:rsid w:val="00826D4E"/>
    <w:rsid w:val="00957F0F"/>
    <w:rsid w:val="009D12C7"/>
    <w:rsid w:val="00A16159"/>
    <w:rsid w:val="00A63938"/>
    <w:rsid w:val="00A64E75"/>
    <w:rsid w:val="00AE60D1"/>
    <w:rsid w:val="00AF7C69"/>
    <w:rsid w:val="00B0714A"/>
    <w:rsid w:val="00B84207"/>
    <w:rsid w:val="00BF6B60"/>
    <w:rsid w:val="00C73849"/>
    <w:rsid w:val="00C90982"/>
    <w:rsid w:val="00D74D95"/>
    <w:rsid w:val="00DD353B"/>
    <w:rsid w:val="00EC1B50"/>
    <w:rsid w:val="00EC5739"/>
    <w:rsid w:val="00EE405A"/>
    <w:rsid w:val="00F21D10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DD3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DD3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ts.oasis-open.org/archives/oasis-charter-discuss/201407/msg000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GA%20Biometrics\SDOs\SC37\Forms\ISO_Comment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ISO_Comments_Template</Template>
  <TotalTime>122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Noblis comments</vt:lpstr>
    </vt:vector>
  </TitlesOfParts>
  <Manager>Delia McGarry</Manager>
  <Company>Noblis, Inc.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Noblis comments</dc:title>
  <dc:subject>OASIS BOPS TC draft charter</dc:subject>
  <dc:creator>John Mayer-Splain</dc:creator>
  <dc:description/>
  <cp:lastModifiedBy>John Mayer-Splain</cp:lastModifiedBy>
  <cp:revision>8</cp:revision>
  <cp:lastPrinted>2001-10-25T18:04:00Z</cp:lastPrinted>
  <dcterms:created xsi:type="dcterms:W3CDTF">2014-07-17T15:19:00Z</dcterms:created>
  <dcterms:modified xsi:type="dcterms:W3CDTF">2014-07-20T18:27:00Z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