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44" w:rsidRPr="00C65E41" w:rsidRDefault="00652B7F" w:rsidP="00652B7F">
      <w:pPr>
        <w:pStyle w:val="Title"/>
        <w:jc w:val="center"/>
        <w:rPr>
          <w:sz w:val="20"/>
        </w:rPr>
      </w:pPr>
      <w:bookmarkStart w:id="0" w:name="_GoBack"/>
      <w:bookmarkEnd w:id="0"/>
      <w:r>
        <w:t>Standards</w:t>
      </w:r>
      <w:r w:rsidR="009D6047">
        <w:t xml:space="preserve"> Way Ahead</w:t>
      </w:r>
      <w:r w:rsidR="00E57033">
        <w:br/>
      </w:r>
      <w:r w:rsidR="00216EC6">
        <w:rPr>
          <w:sz w:val="24"/>
        </w:rPr>
        <w:t>February</w:t>
      </w:r>
      <w:r w:rsidR="00216EC6" w:rsidRPr="00E57033">
        <w:rPr>
          <w:sz w:val="24"/>
        </w:rPr>
        <w:t xml:space="preserve"> </w:t>
      </w:r>
      <w:r w:rsidR="00E57033" w:rsidRPr="00E57033">
        <w:rPr>
          <w:sz w:val="24"/>
        </w:rPr>
        <w:t>2012</w:t>
      </w:r>
    </w:p>
    <w:p w:rsidR="00A201B7" w:rsidRDefault="009B0A7C" w:rsidP="009B0A7C">
      <w:r>
        <w:t xml:space="preserve">Since the institution of the Office of the Program Manager for the Information Sharing Environment (PM-ISE), the Office has worked with its mission partners – federal, state, local, tribal, industry, and international – to develop guidelines, policies, standards, and architecture for responsible information sharing. </w:t>
      </w:r>
      <w:r w:rsidR="00A201B7">
        <w:t xml:space="preserve"> </w:t>
      </w:r>
      <w:r w:rsidR="007F14DA">
        <w:t>The current vision for information sharing and safeguarding is for</w:t>
      </w:r>
      <w:r w:rsidR="00A201B7">
        <w:t xml:space="preserve"> all ISE partners to:</w:t>
      </w:r>
    </w:p>
    <w:p w:rsidR="00A201B7" w:rsidRPr="00A201B7" w:rsidRDefault="00A201B7" w:rsidP="009B0A7C">
      <w:pPr>
        <w:rPr>
          <w:i/>
        </w:rPr>
      </w:pPr>
      <w:r w:rsidRPr="00A201B7">
        <w:rPr>
          <w:i/>
        </w:rPr>
        <w:t>“Ensure that any person with the appropriate mission need can discover and access actionable information at the right time to successfully prevent harm to the American people and protect national security.  Sharing must be done respo</w:t>
      </w:r>
      <w:r w:rsidR="009911B8">
        <w:rPr>
          <w:i/>
        </w:rPr>
        <w:t>nsibly, seamlessly, and securely</w:t>
      </w:r>
      <w:r w:rsidRPr="00A201B7">
        <w:rPr>
          <w:i/>
        </w:rPr>
        <w:t xml:space="preserve"> with safeguards to protect privacy, civil rights and civil liberties”.</w:t>
      </w:r>
    </w:p>
    <w:p w:rsidR="009B0A7C" w:rsidRDefault="002815A9" w:rsidP="009B0A7C">
      <w:r>
        <w:t>The call to action for ISE partners</w:t>
      </w:r>
      <w:r w:rsidR="009B0A7C">
        <w:t xml:space="preserve"> is to accelerate delivery of the ISE capabilities </w:t>
      </w:r>
      <w:r w:rsidR="006C62FE">
        <w:t>throughout the information lifecycle while achieving productivity gains and reducing risk</w:t>
      </w:r>
      <w:r w:rsidR="009B0A7C">
        <w:t>. Going forward, ISE partner</w:t>
      </w:r>
      <w:r w:rsidR="007343ED">
        <w:t>s must make informed investment decisions</w:t>
      </w:r>
      <w:r w:rsidR="00A201B7">
        <w:t xml:space="preserve"> using shared resources</w:t>
      </w:r>
      <w:r w:rsidR="009B0A7C">
        <w:t>, harmonize policy, rationalize business processes, integrate standards activities, and deploy technology to realize joint objectives and requirements.</w:t>
      </w:r>
      <w:r w:rsidR="006C62FE">
        <w:t xml:space="preserve">  </w:t>
      </w:r>
    </w:p>
    <w:p w:rsidR="009B0A7C" w:rsidRDefault="009B0A7C" w:rsidP="009B0A7C">
      <w:r>
        <w:t>In an effort to strategically engage partners, the PM-ISE conducted the Workshop on Information Sharing and Safeguarding Standards (WIS3)</w:t>
      </w:r>
      <w:r w:rsidR="007343ED">
        <w:t xml:space="preserve"> in December 2011</w:t>
      </w:r>
      <w:r>
        <w:t>, to unite as a community to discuss the challenges and opportunities within standards-based information sharing.</w:t>
      </w:r>
    </w:p>
    <w:p w:rsidR="009B0A7C" w:rsidRDefault="009B0A7C" w:rsidP="009B0A7C">
      <w:r>
        <w:t>The</w:t>
      </w:r>
      <w:r w:rsidR="007343ED">
        <w:t xml:space="preserve"> purpose of this document is </w:t>
      </w:r>
      <w:r w:rsidR="007F14DA">
        <w:t xml:space="preserve">to: 1) put </w:t>
      </w:r>
      <w:r>
        <w:t xml:space="preserve">forward guiding objectives </w:t>
      </w:r>
      <w:r w:rsidR="007F14DA">
        <w:t>for coordination of information sharing and safeguarding standards activities, and 2)</w:t>
      </w:r>
      <w:r w:rsidR="007343ED">
        <w:t xml:space="preserve"> </w:t>
      </w:r>
      <w:r w:rsidR="009911B8">
        <w:t xml:space="preserve">provide a baseline </w:t>
      </w:r>
      <w:r w:rsidR="007F14DA">
        <w:t xml:space="preserve">set of recommendations and activities to develop </w:t>
      </w:r>
      <w:r w:rsidR="009911B8">
        <w:t>a long-term roadmap</w:t>
      </w:r>
      <w:r w:rsidR="00622EE7">
        <w:t xml:space="preserve"> and standards lifecycle</w:t>
      </w:r>
      <w:r>
        <w:t xml:space="preserve">. The </w:t>
      </w:r>
      <w:r w:rsidR="00A201B7">
        <w:t xml:space="preserve">shared </w:t>
      </w:r>
      <w:r>
        <w:t>objectives include:</w:t>
      </w:r>
    </w:p>
    <w:p w:rsidR="006C62FE" w:rsidRDefault="006C62FE" w:rsidP="006C62FE">
      <w:pPr>
        <w:pStyle w:val="ListParagraph"/>
        <w:numPr>
          <w:ilvl w:val="0"/>
          <w:numId w:val="17"/>
        </w:numPr>
        <w:jc w:val="both"/>
      </w:pPr>
      <w:r>
        <w:rPr>
          <w:b/>
        </w:rPr>
        <w:t>Mission-</w:t>
      </w:r>
      <w:r w:rsidRPr="0003082F">
        <w:rPr>
          <w:b/>
        </w:rPr>
        <w:t>driven:</w:t>
      </w:r>
      <w:r>
        <w:t xml:space="preserve">  ISE capabilities and standards must serve all mission partners’ requirements and enhance operational effectiveness as a result of information and service sharing while better managing costs.</w:t>
      </w:r>
    </w:p>
    <w:p w:rsidR="009B0A7C" w:rsidRDefault="009B0A7C" w:rsidP="009B0A7C">
      <w:pPr>
        <w:pStyle w:val="ListParagraph"/>
        <w:numPr>
          <w:ilvl w:val="0"/>
          <w:numId w:val="17"/>
        </w:numPr>
        <w:jc w:val="both"/>
      </w:pPr>
      <w:r w:rsidRPr="00F378B0">
        <w:rPr>
          <w:b/>
        </w:rPr>
        <w:t>Shar</w:t>
      </w:r>
      <w:r>
        <w:rPr>
          <w:b/>
        </w:rPr>
        <w:t>ed</w:t>
      </w:r>
      <w:r w:rsidRPr="00F378B0">
        <w:rPr>
          <w:b/>
        </w:rPr>
        <w:t xml:space="preserve"> resources:</w:t>
      </w:r>
      <w:r w:rsidR="00192200">
        <w:t xml:space="preserve">  R</w:t>
      </w:r>
      <w:r w:rsidR="006C62FE">
        <w:t>euse is an important aspect to ISE efficiency, effectiveness, and agility.  S</w:t>
      </w:r>
      <w:r>
        <w:t xml:space="preserve">tandards, architectures, </w:t>
      </w:r>
      <w:r w:rsidRPr="00404293">
        <w:t xml:space="preserve">systems, </w:t>
      </w:r>
      <w:r>
        <w:t xml:space="preserve">and </w:t>
      </w:r>
      <w:r w:rsidRPr="00404293">
        <w:t>tools</w:t>
      </w:r>
      <w:r>
        <w:t xml:space="preserve"> of</w:t>
      </w:r>
      <w:r w:rsidRPr="00404293">
        <w:t xml:space="preserve"> mission partners are more relevant and easily integrated when capable of serving, not only the counter-terrorism function</w:t>
      </w:r>
      <w:r w:rsidR="00192200">
        <w:t>,</w:t>
      </w:r>
      <w:r w:rsidRPr="00404293">
        <w:t xml:space="preserve"> but also providing additional</w:t>
      </w:r>
      <w:r w:rsidR="00192200">
        <w:t xml:space="preserve"> integrated</w:t>
      </w:r>
      <w:r w:rsidRPr="00404293">
        <w:t xml:space="preserve"> mission-capabilities</w:t>
      </w:r>
      <w:r>
        <w:t>.</w:t>
      </w:r>
      <w:r w:rsidR="006C62FE">
        <w:t xml:space="preserve">  </w:t>
      </w:r>
    </w:p>
    <w:p w:rsidR="009B0A7C" w:rsidRDefault="009B0A7C" w:rsidP="006C62FE">
      <w:pPr>
        <w:pStyle w:val="ListParagraph"/>
        <w:numPr>
          <w:ilvl w:val="0"/>
          <w:numId w:val="17"/>
        </w:numPr>
        <w:jc w:val="both"/>
      </w:pPr>
      <w:r w:rsidRPr="0003082F">
        <w:rPr>
          <w:b/>
        </w:rPr>
        <w:t>Integrated governance:</w:t>
      </w:r>
      <w:r>
        <w:t xml:space="preserve">  </w:t>
      </w:r>
      <w:r w:rsidR="00192200">
        <w:t>G</w:t>
      </w:r>
      <w:r>
        <w:t xml:space="preserve">overnance is a key component to making the ISE capabilities efficient and effective across diverse jurisdictions and mission processes.  Leveraging a multi-lateral structure including government, </w:t>
      </w:r>
      <w:r w:rsidR="00A201B7">
        <w:t>standards development organizations (SDO),</w:t>
      </w:r>
      <w:r>
        <w:t xml:space="preserve"> and industry improves the information sharing dialogue.  </w:t>
      </w:r>
    </w:p>
    <w:p w:rsidR="006C62FE" w:rsidRDefault="00A201B7" w:rsidP="009B0A7C">
      <w:r>
        <w:t xml:space="preserve">The strengths of each of the ISE partners can be </w:t>
      </w:r>
      <w:r w:rsidR="00032073">
        <w:t>utilized</w:t>
      </w:r>
      <w:r w:rsidR="00032073" w:rsidRPr="00CD3CD4">
        <w:t xml:space="preserve"> </w:t>
      </w:r>
      <w:r>
        <w:t xml:space="preserve">to </w:t>
      </w:r>
      <w:r w:rsidRPr="00CD3CD4">
        <w:t>inn</w:t>
      </w:r>
      <w:r>
        <w:t xml:space="preserve">ovate and deploy new approaches </w:t>
      </w:r>
      <w:r w:rsidRPr="00CD3CD4">
        <w:t>and tools</w:t>
      </w:r>
      <w:r>
        <w:t xml:space="preserve"> and to streamline governance processes to more effectively share resources and achieve interoperability between standards and systems.  </w:t>
      </w:r>
      <w:r w:rsidR="00876D58">
        <w:t xml:space="preserve">PM-ISE will coordinate with federal, state, local, tribal, industry, and international mission partners via the ISA-IPC to identify requirements, functional requirements, and action items.  </w:t>
      </w:r>
      <w:r>
        <w:t xml:space="preserve">The actions set forth in this report and </w:t>
      </w:r>
      <w:r w:rsidR="00032073">
        <w:t xml:space="preserve">the </w:t>
      </w:r>
      <w:r>
        <w:t xml:space="preserve">future roadmap must meet the needs of the </w:t>
      </w:r>
      <w:r w:rsidR="00711DD1">
        <w:t>mission users</w:t>
      </w:r>
      <w:r>
        <w:t xml:space="preserve"> -</w:t>
      </w:r>
      <w:r w:rsidRPr="00CD3CD4">
        <w:t xml:space="preserve"> </w:t>
      </w:r>
      <w:r>
        <w:t xml:space="preserve">analysts, investigators, and operators on the </w:t>
      </w:r>
      <w:r w:rsidRPr="00CD3CD4">
        <w:t>frontline</w:t>
      </w:r>
      <w:r w:rsidR="00711DD1">
        <w:t>.  SDO’s and other non-governmental organizations must work within their respective communities to gather business requirements</w:t>
      </w:r>
      <w:r w:rsidR="00292422">
        <w:t xml:space="preserve"> and identify members that can help execute the roadmap</w:t>
      </w:r>
      <w:r w:rsidR="00711DD1">
        <w:t>.</w:t>
      </w:r>
      <w:r>
        <w:t xml:space="preserve">  One of the first recommendations is to convene a Standards Coordinating Council (SCC) to </w:t>
      </w:r>
      <w:r w:rsidR="009911B8">
        <w:t>facilitate the completion of this report</w:t>
      </w:r>
      <w:r w:rsidR="00622EE7">
        <w:t xml:space="preserve">, a </w:t>
      </w:r>
      <w:r w:rsidR="009911B8">
        <w:t>subsequent roadmap</w:t>
      </w:r>
      <w:r w:rsidR="00622EE7">
        <w:t>, and the creation of standards lifecycle</w:t>
      </w:r>
      <w:r w:rsidR="009911B8">
        <w:t xml:space="preserve">.  </w:t>
      </w:r>
      <w:r>
        <w:t xml:space="preserve"> It is expected that </w:t>
      </w:r>
      <w:r w:rsidR="00876D58">
        <w:t xml:space="preserve">each action item will have a corresponding </w:t>
      </w:r>
      <w:r>
        <w:t>SCC</w:t>
      </w:r>
      <w:r w:rsidR="00876D58">
        <w:t xml:space="preserve"> Lead </w:t>
      </w:r>
      <w:r w:rsidR="00922CD2">
        <w:t>Organization</w:t>
      </w:r>
      <w:r w:rsidR="00876D58">
        <w:t xml:space="preserve"> that </w:t>
      </w:r>
      <w:r>
        <w:t xml:space="preserve">will take ownership of the actions in this report and </w:t>
      </w:r>
      <w:r w:rsidR="00876D58">
        <w:t>provide status updates</w:t>
      </w:r>
      <w:r>
        <w:t xml:space="preserve">.  </w:t>
      </w:r>
    </w:p>
    <w:p w:rsidR="006C62FE" w:rsidRPr="006C62FE" w:rsidRDefault="00A201B7" w:rsidP="009B0A7C">
      <w:pPr>
        <w:rPr>
          <w:b/>
        </w:rPr>
      </w:pPr>
      <w:r w:rsidRPr="006C62FE">
        <w:rPr>
          <w:b/>
        </w:rPr>
        <w:lastRenderedPageBreak/>
        <w:t xml:space="preserve">The recommendations and activities in this report are considered notional until formal partner feedback is received.  </w:t>
      </w:r>
      <w:r w:rsidR="006C62FE" w:rsidRPr="006C62FE">
        <w:rPr>
          <w:b/>
        </w:rPr>
        <w:t xml:space="preserve">In some cases more than one owner </w:t>
      </w:r>
      <w:r w:rsidR="00F459FA">
        <w:rPr>
          <w:b/>
        </w:rPr>
        <w:t>is</w:t>
      </w:r>
      <w:r w:rsidR="006C62FE" w:rsidRPr="006C62FE">
        <w:rPr>
          <w:b/>
        </w:rPr>
        <w:t xml:space="preserve"> listed until an SCC partner agrees to directly own the action.  The information in this report is meant to foster discussion and to finalize a roadmap to coordinate standards activities across the SCC partners.</w:t>
      </w:r>
    </w:p>
    <w:p w:rsidR="009B0A7C" w:rsidRDefault="00A201B7" w:rsidP="009B0A7C">
      <w:r>
        <w:t>The recommendation categories include:</w:t>
      </w:r>
    </w:p>
    <w:p w:rsidR="00A201B7" w:rsidRDefault="004D1D2D" w:rsidP="007343ED">
      <w:pPr>
        <w:numPr>
          <w:ilvl w:val="0"/>
          <w:numId w:val="21"/>
        </w:numPr>
        <w:spacing w:after="0" w:line="360" w:lineRule="auto"/>
      </w:pPr>
      <w:r>
        <w:t>Standards Coordination and G</w:t>
      </w:r>
      <w:r w:rsidR="00A201B7">
        <w:t>overnance</w:t>
      </w:r>
    </w:p>
    <w:p w:rsidR="00A201B7" w:rsidRDefault="003033A9" w:rsidP="007343ED">
      <w:pPr>
        <w:numPr>
          <w:ilvl w:val="0"/>
          <w:numId w:val="21"/>
        </w:numPr>
        <w:spacing w:after="0" w:line="360" w:lineRule="auto"/>
      </w:pPr>
      <w:r>
        <w:t>National Inf</w:t>
      </w:r>
      <w:r w:rsidR="006C3BBF">
        <w:t>ormation Exchange Model (NIEM) Scalability and A</w:t>
      </w:r>
      <w:r>
        <w:t>doption</w:t>
      </w:r>
    </w:p>
    <w:p w:rsidR="004D1D2D" w:rsidRDefault="004D1D2D" w:rsidP="007343ED">
      <w:pPr>
        <w:numPr>
          <w:ilvl w:val="0"/>
          <w:numId w:val="21"/>
        </w:numPr>
        <w:spacing w:after="0" w:line="360" w:lineRule="auto"/>
      </w:pPr>
      <w:r>
        <w:t>Standards Development and Interoperability</w:t>
      </w:r>
    </w:p>
    <w:p w:rsidR="003033A9" w:rsidRDefault="004D1D2D" w:rsidP="007343ED">
      <w:pPr>
        <w:numPr>
          <w:ilvl w:val="0"/>
          <w:numId w:val="21"/>
        </w:numPr>
        <w:spacing w:after="0" w:line="360" w:lineRule="auto"/>
      </w:pPr>
      <w:r>
        <w:t>Identity and Access Management</w:t>
      </w:r>
    </w:p>
    <w:p w:rsidR="004D1D2D" w:rsidRDefault="004D1D2D" w:rsidP="007343ED">
      <w:pPr>
        <w:numPr>
          <w:ilvl w:val="0"/>
          <w:numId w:val="21"/>
        </w:numPr>
        <w:spacing w:after="0" w:line="360" w:lineRule="auto"/>
      </w:pPr>
      <w:r>
        <w:t>Policy Automation</w:t>
      </w:r>
    </w:p>
    <w:p w:rsidR="004D1D2D" w:rsidRDefault="00BC5429" w:rsidP="007343ED">
      <w:pPr>
        <w:numPr>
          <w:ilvl w:val="0"/>
          <w:numId w:val="21"/>
        </w:numPr>
        <w:spacing w:after="0" w:line="360" w:lineRule="auto"/>
      </w:pPr>
      <w:r>
        <w:t xml:space="preserve">Integrating </w:t>
      </w:r>
      <w:r w:rsidR="004D1D2D">
        <w:t>Geospatial</w:t>
      </w:r>
      <w:r>
        <w:t xml:space="preserve"> into the ISE</w:t>
      </w:r>
    </w:p>
    <w:p w:rsidR="009911B8" w:rsidRPr="00CD3CD4" w:rsidRDefault="004D1D2D" w:rsidP="009911B8">
      <w:pPr>
        <w:numPr>
          <w:ilvl w:val="0"/>
          <w:numId w:val="21"/>
        </w:numPr>
        <w:spacing w:after="0" w:line="360" w:lineRule="auto"/>
      </w:pPr>
      <w:r>
        <w:t>Procurement and Standards Testing and Certification</w:t>
      </w:r>
    </w:p>
    <w:p w:rsidR="00956740" w:rsidRDefault="00956740" w:rsidP="001F337C">
      <w:pPr>
        <w:pStyle w:val="Heading1"/>
      </w:pPr>
      <w:r>
        <w:t xml:space="preserve">Standards </w:t>
      </w:r>
      <w:r w:rsidR="001A186F">
        <w:t xml:space="preserve">Coordination and </w:t>
      </w:r>
      <w:r w:rsidR="00A201B7">
        <w:t>Governance</w:t>
      </w:r>
    </w:p>
    <w:p w:rsidR="00956740" w:rsidRDefault="00C11918" w:rsidP="00956740">
      <w:r>
        <w:t xml:space="preserve">Governance plays a critical role in determining the specific priorities for information sharing and safeguarding.  A multi-lateral structure including all partners is necessary to ensure collective decision-making given the convergence of multiple missions and resources.  </w:t>
      </w:r>
      <w:r w:rsidR="00B11E0E">
        <w:t xml:space="preserve">Informed decision making begins with a standardized, integrated approach to gathering, analyzing and reporting information.  </w:t>
      </w:r>
      <w:r w:rsidR="00A201B7" w:rsidRPr="00D01E33">
        <w:t>The architecture, methodologies, and technolo</w:t>
      </w:r>
      <w:r w:rsidR="00A201B7">
        <w:t xml:space="preserve">gies used to build the ISE </w:t>
      </w:r>
      <w:r w:rsidR="00A201B7" w:rsidRPr="00D01E33">
        <w:t xml:space="preserve">rely upon standards.  </w:t>
      </w:r>
      <w:r w:rsidR="00A201B7">
        <w:t xml:space="preserve">Standing up the SCC is the first step in convening mission partners </w:t>
      </w:r>
      <w:r w:rsidR="005426C2">
        <w:t>to streamline standards development activities.</w:t>
      </w:r>
      <w:r w:rsidR="00956740">
        <w:t xml:space="preserve"> </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1D08C5" w:rsidRPr="001D08C5" w:rsidTr="00E354F2">
        <w:trPr>
          <w:tblHeader/>
          <w:jc w:val="center"/>
        </w:trPr>
        <w:tc>
          <w:tcPr>
            <w:tcW w:w="9914" w:type="dxa"/>
            <w:gridSpan w:val="2"/>
            <w:shd w:val="clear" w:color="auto" w:fill="632423"/>
          </w:tcPr>
          <w:p w:rsidR="001D08C5" w:rsidRPr="001D08C5" w:rsidRDefault="001D08C5" w:rsidP="001D08C5">
            <w:pPr>
              <w:spacing w:after="60"/>
              <w:rPr>
                <w:b/>
                <w:sz w:val="20"/>
                <w:szCs w:val="20"/>
              </w:rPr>
            </w:pPr>
            <w:r w:rsidRPr="001D08C5">
              <w:rPr>
                <w:b/>
                <w:sz w:val="20"/>
                <w:szCs w:val="20"/>
              </w:rPr>
              <w:t>Category Overview</w:t>
            </w:r>
          </w:p>
        </w:tc>
      </w:tr>
      <w:tr w:rsidR="005426C2" w:rsidRPr="001D08C5" w:rsidTr="00E354F2">
        <w:trPr>
          <w:jc w:val="center"/>
        </w:trPr>
        <w:tc>
          <w:tcPr>
            <w:tcW w:w="1975" w:type="dxa"/>
            <w:shd w:val="clear" w:color="auto" w:fill="632423"/>
          </w:tcPr>
          <w:p w:rsidR="005426C2" w:rsidRPr="001D08C5" w:rsidRDefault="005426C2" w:rsidP="00F5459F">
            <w:pPr>
              <w:spacing w:after="60"/>
              <w:rPr>
                <w:b/>
                <w:bCs/>
                <w:sz w:val="20"/>
                <w:szCs w:val="20"/>
              </w:rPr>
            </w:pPr>
            <w:r w:rsidRPr="001D08C5">
              <w:rPr>
                <w:b/>
                <w:bCs/>
                <w:sz w:val="20"/>
                <w:szCs w:val="20"/>
              </w:rPr>
              <w:t>Business Value</w:t>
            </w:r>
          </w:p>
        </w:tc>
        <w:tc>
          <w:tcPr>
            <w:tcW w:w="7939" w:type="dxa"/>
            <w:shd w:val="clear" w:color="auto" w:fill="F2DBDB"/>
          </w:tcPr>
          <w:p w:rsidR="005426C2" w:rsidRPr="001D08C5" w:rsidRDefault="005426C2" w:rsidP="003C4015">
            <w:pPr>
              <w:numPr>
                <w:ilvl w:val="0"/>
                <w:numId w:val="14"/>
              </w:numPr>
              <w:spacing w:after="60"/>
              <w:ind w:left="162" w:hanging="162"/>
              <w:rPr>
                <w:sz w:val="20"/>
                <w:szCs w:val="20"/>
              </w:rPr>
            </w:pPr>
            <w:r w:rsidRPr="001D08C5">
              <w:rPr>
                <w:sz w:val="20"/>
                <w:szCs w:val="20"/>
              </w:rPr>
              <w:t>Integrated governance model to streamline standards development activities and to enhance communication, collaboration, and consensus between partners</w:t>
            </w:r>
          </w:p>
          <w:p w:rsidR="005426C2" w:rsidRPr="001D08C5" w:rsidRDefault="005426C2" w:rsidP="003C4015">
            <w:pPr>
              <w:numPr>
                <w:ilvl w:val="0"/>
                <w:numId w:val="14"/>
              </w:numPr>
              <w:spacing w:after="60"/>
              <w:ind w:left="162" w:hanging="162"/>
              <w:rPr>
                <w:sz w:val="20"/>
                <w:szCs w:val="20"/>
              </w:rPr>
            </w:pPr>
            <w:r w:rsidRPr="001D08C5">
              <w:rPr>
                <w:sz w:val="20"/>
                <w:szCs w:val="20"/>
              </w:rPr>
              <w:t>Coordinated network to conduct communications and outreach of standards development results to broader stakeholder audiences (leverage ISE annual report and industry events)</w:t>
            </w:r>
          </w:p>
          <w:p w:rsidR="005426C2" w:rsidRPr="001D08C5" w:rsidRDefault="005426C2" w:rsidP="003C4015">
            <w:pPr>
              <w:numPr>
                <w:ilvl w:val="0"/>
                <w:numId w:val="14"/>
              </w:numPr>
              <w:spacing w:after="60"/>
              <w:ind w:left="162" w:hanging="162"/>
              <w:rPr>
                <w:sz w:val="20"/>
                <w:szCs w:val="20"/>
              </w:rPr>
            </w:pPr>
            <w:r w:rsidRPr="001D08C5">
              <w:rPr>
                <w:sz w:val="20"/>
                <w:szCs w:val="20"/>
              </w:rPr>
              <w:t xml:space="preserve">Adoption of high value standards initiatives owned and driven by SDOs and industry organizations designed to advance information sharing </w:t>
            </w:r>
          </w:p>
        </w:tc>
      </w:tr>
      <w:tr w:rsidR="0047408E" w:rsidRPr="001D08C5" w:rsidTr="00E354F2">
        <w:trPr>
          <w:jc w:val="center"/>
        </w:trPr>
        <w:tc>
          <w:tcPr>
            <w:tcW w:w="1975" w:type="dxa"/>
            <w:shd w:val="clear" w:color="auto" w:fill="632423"/>
          </w:tcPr>
          <w:p w:rsidR="0047408E" w:rsidRPr="001D08C5" w:rsidRDefault="0047037E" w:rsidP="00F5459F">
            <w:pPr>
              <w:spacing w:after="60"/>
              <w:rPr>
                <w:b/>
                <w:bCs/>
                <w:sz w:val="20"/>
                <w:szCs w:val="20"/>
              </w:rPr>
            </w:pPr>
            <w:r w:rsidRPr="001D08C5">
              <w:rPr>
                <w:b/>
                <w:bCs/>
                <w:sz w:val="20"/>
                <w:szCs w:val="20"/>
              </w:rPr>
              <w:t>Relevancy to other recommendations</w:t>
            </w:r>
          </w:p>
        </w:tc>
        <w:tc>
          <w:tcPr>
            <w:tcW w:w="7939" w:type="dxa"/>
            <w:shd w:val="clear" w:color="auto" w:fill="F2DBDB"/>
          </w:tcPr>
          <w:p w:rsidR="00F45EF0" w:rsidRDefault="00A201B7" w:rsidP="003C4015">
            <w:pPr>
              <w:numPr>
                <w:ilvl w:val="0"/>
                <w:numId w:val="14"/>
              </w:numPr>
              <w:spacing w:after="60"/>
              <w:ind w:left="162" w:hanging="162"/>
              <w:rPr>
                <w:sz w:val="20"/>
                <w:szCs w:val="20"/>
              </w:rPr>
            </w:pPr>
            <w:r>
              <w:rPr>
                <w:sz w:val="20"/>
                <w:szCs w:val="20"/>
              </w:rPr>
              <w:t xml:space="preserve">SCC serves as the umbrella to drive completion of all recommendations and actions </w:t>
            </w:r>
          </w:p>
          <w:p w:rsidR="0047408E" w:rsidRPr="001D08C5" w:rsidRDefault="00A201B7" w:rsidP="003C4015">
            <w:pPr>
              <w:numPr>
                <w:ilvl w:val="0"/>
                <w:numId w:val="14"/>
              </w:numPr>
              <w:spacing w:after="60"/>
              <w:ind w:left="162" w:hanging="162"/>
              <w:rPr>
                <w:bCs/>
                <w:sz w:val="20"/>
                <w:szCs w:val="20"/>
              </w:rPr>
            </w:pPr>
            <w:r>
              <w:rPr>
                <w:sz w:val="20"/>
                <w:szCs w:val="20"/>
              </w:rPr>
              <w:t>Partner organizations</w:t>
            </w:r>
            <w:r w:rsidR="00780E48">
              <w:rPr>
                <w:sz w:val="20"/>
                <w:szCs w:val="20"/>
              </w:rPr>
              <w:t xml:space="preserve"> and their membership</w:t>
            </w:r>
            <w:r>
              <w:rPr>
                <w:sz w:val="20"/>
                <w:szCs w:val="20"/>
              </w:rPr>
              <w:t xml:space="preserve"> have responsibility for individual actions to fulfill the vision of the SCC</w:t>
            </w:r>
            <w:r w:rsidR="00B12D2B">
              <w:rPr>
                <w:sz w:val="20"/>
                <w:szCs w:val="20"/>
              </w:rPr>
              <w:t xml:space="preserve"> and integrated roadmap</w:t>
            </w:r>
          </w:p>
        </w:tc>
      </w:tr>
    </w:tbl>
    <w:p w:rsidR="00F45EF0" w:rsidRDefault="00F45EF0" w:rsidP="00F45EF0"/>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F45EF0" w:rsidRPr="001D08C5" w:rsidTr="00C65E41">
        <w:trPr>
          <w:tblHeader/>
          <w:jc w:val="center"/>
        </w:trPr>
        <w:tc>
          <w:tcPr>
            <w:tcW w:w="9576" w:type="dxa"/>
            <w:gridSpan w:val="4"/>
            <w:shd w:val="clear" w:color="auto" w:fill="632423"/>
          </w:tcPr>
          <w:p w:rsidR="00F45EF0" w:rsidRPr="001D08C5" w:rsidRDefault="00F45EF0" w:rsidP="00F45EF0">
            <w:pPr>
              <w:spacing w:after="60"/>
              <w:rPr>
                <w:b/>
                <w:sz w:val="20"/>
                <w:szCs w:val="20"/>
              </w:rPr>
            </w:pPr>
            <w:r>
              <w:rPr>
                <w:b/>
                <w:sz w:val="20"/>
                <w:szCs w:val="20"/>
              </w:rPr>
              <w:t>Action Item Overview</w:t>
            </w:r>
          </w:p>
        </w:tc>
      </w:tr>
      <w:tr w:rsidR="00F45EF0" w:rsidRPr="001D08C5" w:rsidTr="00C65E41">
        <w:trPr>
          <w:trHeight w:val="610"/>
          <w:tblHeader/>
          <w:jc w:val="center"/>
        </w:trPr>
        <w:tc>
          <w:tcPr>
            <w:tcW w:w="3185" w:type="dxa"/>
            <w:gridSpan w:val="2"/>
            <w:shd w:val="clear" w:color="auto" w:fill="632423"/>
            <w:vAlign w:val="center"/>
          </w:tcPr>
          <w:p w:rsidR="00F45EF0" w:rsidRPr="001D08C5" w:rsidRDefault="00F45EF0" w:rsidP="00F45EF0">
            <w:pPr>
              <w:spacing w:after="60"/>
              <w:jc w:val="center"/>
              <w:rPr>
                <w:b/>
                <w:sz w:val="20"/>
                <w:szCs w:val="20"/>
              </w:rPr>
            </w:pPr>
            <w:r w:rsidRPr="001D08C5">
              <w:rPr>
                <w:b/>
                <w:sz w:val="20"/>
                <w:szCs w:val="20"/>
              </w:rPr>
              <w:t>Action</w:t>
            </w:r>
          </w:p>
        </w:tc>
        <w:tc>
          <w:tcPr>
            <w:tcW w:w="1333" w:type="dxa"/>
            <w:shd w:val="clear" w:color="auto" w:fill="632423"/>
            <w:vAlign w:val="center"/>
          </w:tcPr>
          <w:p w:rsidR="00F45EF0" w:rsidRPr="001D08C5" w:rsidRDefault="00876D58" w:rsidP="00F45EF0">
            <w:pPr>
              <w:spacing w:after="60"/>
              <w:jc w:val="center"/>
              <w:rPr>
                <w:b/>
                <w:sz w:val="20"/>
                <w:szCs w:val="20"/>
              </w:rPr>
            </w:pPr>
            <w:r>
              <w:rPr>
                <w:b/>
                <w:sz w:val="20"/>
                <w:szCs w:val="20"/>
              </w:rPr>
              <w:t xml:space="preserve">SCC </w:t>
            </w:r>
            <w:r w:rsidR="00F45EF0" w:rsidRPr="001D08C5">
              <w:rPr>
                <w:b/>
                <w:sz w:val="20"/>
                <w:szCs w:val="20"/>
              </w:rPr>
              <w:t>Lead Organization</w:t>
            </w:r>
          </w:p>
        </w:tc>
        <w:tc>
          <w:tcPr>
            <w:tcW w:w="5058" w:type="dxa"/>
            <w:shd w:val="clear" w:color="auto" w:fill="632423"/>
            <w:vAlign w:val="center"/>
          </w:tcPr>
          <w:p w:rsidR="00F45EF0" w:rsidRPr="001D08C5" w:rsidRDefault="00F45EF0" w:rsidP="00F45EF0">
            <w:pPr>
              <w:spacing w:after="60"/>
              <w:jc w:val="center"/>
              <w:rPr>
                <w:b/>
                <w:sz w:val="20"/>
                <w:szCs w:val="20"/>
              </w:rPr>
            </w:pPr>
            <w:r w:rsidRPr="001D08C5">
              <w:rPr>
                <w:b/>
                <w:sz w:val="20"/>
                <w:szCs w:val="20"/>
              </w:rPr>
              <w:t>Description</w:t>
            </w:r>
          </w:p>
        </w:tc>
      </w:tr>
      <w:tr w:rsidR="00F45EF0" w:rsidRPr="001D08C5" w:rsidTr="00C65E41">
        <w:trPr>
          <w:jc w:val="center"/>
        </w:trPr>
        <w:tc>
          <w:tcPr>
            <w:tcW w:w="1368" w:type="dxa"/>
            <w:vMerge w:val="restart"/>
            <w:shd w:val="clear" w:color="auto" w:fill="F2DBDB"/>
            <w:vAlign w:val="center"/>
          </w:tcPr>
          <w:p w:rsidR="00F45EF0" w:rsidRPr="00F45EF0" w:rsidRDefault="00F45EF0" w:rsidP="00F45EF0">
            <w:pPr>
              <w:spacing w:after="60"/>
              <w:jc w:val="center"/>
              <w:rPr>
                <w:sz w:val="20"/>
                <w:szCs w:val="20"/>
              </w:rPr>
            </w:pPr>
            <w:r w:rsidRPr="00F45EF0">
              <w:rPr>
                <w:sz w:val="20"/>
                <w:szCs w:val="20"/>
              </w:rPr>
              <w:t>Short-term</w:t>
            </w:r>
          </w:p>
          <w:p w:rsidR="00F45EF0" w:rsidRPr="00F45EF0" w:rsidRDefault="00F45EF0" w:rsidP="00F45EF0">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F45EF0" w:rsidRPr="001D08C5" w:rsidRDefault="00F45EF0" w:rsidP="00F45EF0">
            <w:pPr>
              <w:spacing w:after="60"/>
              <w:rPr>
                <w:sz w:val="20"/>
                <w:szCs w:val="20"/>
              </w:rPr>
            </w:pPr>
            <w:r>
              <w:rPr>
                <w:sz w:val="20"/>
                <w:szCs w:val="20"/>
              </w:rPr>
              <w:t xml:space="preserve">Convene </w:t>
            </w:r>
            <w:r w:rsidR="00780E48">
              <w:rPr>
                <w:sz w:val="20"/>
                <w:szCs w:val="20"/>
              </w:rPr>
              <w:t xml:space="preserve">ISE </w:t>
            </w:r>
            <w:r>
              <w:rPr>
                <w:sz w:val="20"/>
                <w:szCs w:val="20"/>
              </w:rPr>
              <w:t xml:space="preserve">Standards Coordinating </w:t>
            </w:r>
            <w:r>
              <w:rPr>
                <w:sz w:val="20"/>
                <w:szCs w:val="20"/>
              </w:rPr>
              <w:lastRenderedPageBreak/>
              <w:t>Council</w:t>
            </w:r>
          </w:p>
        </w:tc>
        <w:tc>
          <w:tcPr>
            <w:tcW w:w="1333" w:type="dxa"/>
            <w:shd w:val="clear" w:color="auto" w:fill="F2DBDB"/>
          </w:tcPr>
          <w:p w:rsidR="00F45EF0" w:rsidRPr="001D08C5" w:rsidRDefault="00780E48" w:rsidP="00F45EF0">
            <w:pPr>
              <w:spacing w:after="60"/>
              <w:rPr>
                <w:sz w:val="20"/>
                <w:szCs w:val="20"/>
              </w:rPr>
            </w:pPr>
            <w:r>
              <w:rPr>
                <w:sz w:val="20"/>
                <w:szCs w:val="20"/>
              </w:rPr>
              <w:lastRenderedPageBreak/>
              <w:t xml:space="preserve">PM-ISE, </w:t>
            </w:r>
            <w:r w:rsidR="006C3BBF">
              <w:rPr>
                <w:sz w:val="20"/>
                <w:szCs w:val="20"/>
              </w:rPr>
              <w:t>SCC Partners</w:t>
            </w:r>
          </w:p>
        </w:tc>
        <w:tc>
          <w:tcPr>
            <w:tcW w:w="5058" w:type="dxa"/>
            <w:shd w:val="clear" w:color="auto" w:fill="F2DBDB"/>
          </w:tcPr>
          <w:p w:rsidR="00F45EF0" w:rsidRPr="003C4015" w:rsidRDefault="00F45EF0" w:rsidP="003C4015">
            <w:pPr>
              <w:numPr>
                <w:ilvl w:val="0"/>
                <w:numId w:val="14"/>
              </w:numPr>
              <w:spacing w:after="60"/>
              <w:ind w:left="162" w:hanging="162"/>
              <w:rPr>
                <w:sz w:val="20"/>
                <w:szCs w:val="20"/>
              </w:rPr>
            </w:pPr>
            <w:r w:rsidRPr="003C4015">
              <w:rPr>
                <w:sz w:val="20"/>
                <w:szCs w:val="20"/>
              </w:rPr>
              <w:t>Discuss next steps and way ahead on the formation of this council</w:t>
            </w:r>
          </w:p>
          <w:p w:rsidR="00F45EF0" w:rsidRPr="003C4015" w:rsidRDefault="00F45EF0" w:rsidP="003C4015">
            <w:pPr>
              <w:numPr>
                <w:ilvl w:val="0"/>
                <w:numId w:val="14"/>
              </w:numPr>
              <w:spacing w:after="60"/>
              <w:ind w:left="162" w:hanging="162"/>
              <w:rPr>
                <w:sz w:val="20"/>
                <w:szCs w:val="20"/>
              </w:rPr>
            </w:pPr>
            <w:r w:rsidRPr="00964BE4">
              <w:rPr>
                <w:sz w:val="20"/>
                <w:szCs w:val="20"/>
              </w:rPr>
              <w:t xml:space="preserve">Solicit current standards challenges that can be minimized </w:t>
            </w:r>
            <w:r w:rsidRPr="00964BE4">
              <w:rPr>
                <w:sz w:val="20"/>
                <w:szCs w:val="20"/>
              </w:rPr>
              <w:lastRenderedPageBreak/>
              <w:t>leveraging the SCC</w:t>
            </w:r>
          </w:p>
          <w:p w:rsidR="00FB3DC0" w:rsidRDefault="00922CD2">
            <w:pPr>
              <w:numPr>
                <w:ilvl w:val="0"/>
                <w:numId w:val="14"/>
              </w:numPr>
              <w:spacing w:after="60"/>
              <w:ind w:left="162" w:hanging="162"/>
              <w:rPr>
                <w:sz w:val="20"/>
                <w:szCs w:val="20"/>
              </w:rPr>
            </w:pPr>
            <w:r w:rsidRPr="00693E80">
              <w:rPr>
                <w:sz w:val="20"/>
                <w:szCs w:val="20"/>
              </w:rPr>
              <w:t xml:space="preserve">Understand individual organization objectives for the SCC and how the SCC can be used to define a standards roadmap </w:t>
            </w:r>
            <w:r>
              <w:rPr>
                <w:sz w:val="20"/>
                <w:szCs w:val="20"/>
              </w:rPr>
              <w:t xml:space="preserve">and enhance collaboration and transparency </w:t>
            </w:r>
            <w:r w:rsidRPr="00693E80">
              <w:rPr>
                <w:sz w:val="20"/>
                <w:szCs w:val="20"/>
              </w:rPr>
              <w:t>across organizations</w:t>
            </w:r>
            <w:r>
              <w:rPr>
                <w:sz w:val="20"/>
                <w:szCs w:val="20"/>
              </w:rPr>
              <w:t>.</w:t>
            </w:r>
          </w:p>
        </w:tc>
      </w:tr>
      <w:tr w:rsidR="00F45EF0" w:rsidRPr="001D08C5" w:rsidTr="00C65E41">
        <w:trPr>
          <w:jc w:val="center"/>
        </w:trPr>
        <w:tc>
          <w:tcPr>
            <w:tcW w:w="1368" w:type="dxa"/>
            <w:vMerge/>
            <w:shd w:val="clear" w:color="auto" w:fill="F2DBDB"/>
          </w:tcPr>
          <w:p w:rsidR="00F45EF0" w:rsidRPr="00F45EF0" w:rsidRDefault="00F45EF0" w:rsidP="00F45EF0">
            <w:pPr>
              <w:spacing w:after="60"/>
              <w:jc w:val="center"/>
              <w:rPr>
                <w:sz w:val="20"/>
                <w:szCs w:val="20"/>
              </w:rPr>
            </w:pPr>
          </w:p>
        </w:tc>
        <w:tc>
          <w:tcPr>
            <w:tcW w:w="1817" w:type="dxa"/>
            <w:shd w:val="clear" w:color="auto" w:fill="F2DBDB"/>
          </w:tcPr>
          <w:p w:rsidR="00F45EF0" w:rsidRPr="001D08C5" w:rsidRDefault="007343ED" w:rsidP="00F45EF0">
            <w:pPr>
              <w:spacing w:after="60"/>
              <w:rPr>
                <w:sz w:val="20"/>
                <w:szCs w:val="20"/>
              </w:rPr>
            </w:pPr>
            <w:r>
              <w:rPr>
                <w:sz w:val="20"/>
                <w:szCs w:val="20"/>
              </w:rPr>
              <w:t>Develop a Roadmap to Reflect Standards A</w:t>
            </w:r>
            <w:r w:rsidR="00F45EF0">
              <w:rPr>
                <w:sz w:val="20"/>
                <w:szCs w:val="20"/>
              </w:rPr>
              <w:t>ctivities</w:t>
            </w:r>
          </w:p>
        </w:tc>
        <w:tc>
          <w:tcPr>
            <w:tcW w:w="1333" w:type="dxa"/>
            <w:shd w:val="clear" w:color="auto" w:fill="F2DBDB"/>
          </w:tcPr>
          <w:p w:rsidR="00F45EF0" w:rsidRPr="001D08C5" w:rsidRDefault="00F45EF0" w:rsidP="00F45EF0">
            <w:pPr>
              <w:spacing w:after="60"/>
              <w:rPr>
                <w:sz w:val="20"/>
                <w:szCs w:val="20"/>
              </w:rPr>
            </w:pPr>
            <w:r>
              <w:rPr>
                <w:sz w:val="20"/>
                <w:szCs w:val="20"/>
              </w:rPr>
              <w:t>SCC Partners</w:t>
            </w:r>
          </w:p>
        </w:tc>
        <w:tc>
          <w:tcPr>
            <w:tcW w:w="5058" w:type="dxa"/>
            <w:shd w:val="clear" w:color="auto" w:fill="F2DBDB"/>
          </w:tcPr>
          <w:p w:rsidR="00F45EF0" w:rsidRPr="001D08C5" w:rsidRDefault="00F45EF0" w:rsidP="003C4015">
            <w:pPr>
              <w:numPr>
                <w:ilvl w:val="0"/>
                <w:numId w:val="14"/>
              </w:numPr>
              <w:spacing w:after="60"/>
              <w:ind w:left="162" w:hanging="162"/>
              <w:rPr>
                <w:sz w:val="20"/>
                <w:szCs w:val="20"/>
              </w:rPr>
            </w:pPr>
            <w:r w:rsidRPr="001D08C5">
              <w:rPr>
                <w:sz w:val="20"/>
                <w:szCs w:val="20"/>
              </w:rPr>
              <w:t xml:space="preserve">Gain commitment from individual organizations to </w:t>
            </w:r>
            <w:r w:rsidR="00F459FA">
              <w:rPr>
                <w:sz w:val="20"/>
                <w:szCs w:val="20"/>
              </w:rPr>
              <w:t xml:space="preserve">a </w:t>
            </w:r>
            <w:r w:rsidR="00532CF6">
              <w:rPr>
                <w:sz w:val="20"/>
                <w:szCs w:val="20"/>
              </w:rPr>
              <w:t>“</w:t>
            </w:r>
            <w:r>
              <w:rPr>
                <w:sz w:val="20"/>
                <w:szCs w:val="20"/>
              </w:rPr>
              <w:t>Standards Way Ahead</w:t>
            </w:r>
            <w:r w:rsidR="00532CF6">
              <w:rPr>
                <w:sz w:val="20"/>
                <w:szCs w:val="20"/>
              </w:rPr>
              <w:t>”</w:t>
            </w:r>
            <w:r>
              <w:rPr>
                <w:sz w:val="20"/>
                <w:szCs w:val="20"/>
              </w:rPr>
              <w:t xml:space="preserve"> report and formalize milestones</w:t>
            </w:r>
          </w:p>
          <w:p w:rsidR="00F45EF0" w:rsidRPr="001D08C5" w:rsidRDefault="00F45EF0" w:rsidP="003C4015">
            <w:pPr>
              <w:spacing w:after="60"/>
              <w:ind w:left="162" w:hanging="162"/>
              <w:rPr>
                <w:sz w:val="20"/>
                <w:szCs w:val="20"/>
              </w:rPr>
            </w:pPr>
          </w:p>
        </w:tc>
      </w:tr>
      <w:tr w:rsidR="00F45EF0" w:rsidRPr="001D08C5" w:rsidTr="00C65E41">
        <w:trPr>
          <w:jc w:val="center"/>
        </w:trPr>
        <w:tc>
          <w:tcPr>
            <w:tcW w:w="1368" w:type="dxa"/>
            <w:vMerge/>
            <w:shd w:val="clear" w:color="auto" w:fill="F2DBDB"/>
          </w:tcPr>
          <w:p w:rsidR="00F45EF0" w:rsidRPr="00F45EF0" w:rsidRDefault="00F45EF0" w:rsidP="00F45EF0">
            <w:pPr>
              <w:spacing w:after="60"/>
              <w:jc w:val="center"/>
              <w:rPr>
                <w:sz w:val="20"/>
                <w:szCs w:val="20"/>
              </w:rPr>
            </w:pPr>
          </w:p>
        </w:tc>
        <w:tc>
          <w:tcPr>
            <w:tcW w:w="1817" w:type="dxa"/>
            <w:shd w:val="clear" w:color="auto" w:fill="F2DBDB"/>
          </w:tcPr>
          <w:p w:rsidR="00F45EF0" w:rsidRPr="001D08C5" w:rsidRDefault="007343ED" w:rsidP="00F45EF0">
            <w:pPr>
              <w:spacing w:after="60"/>
              <w:rPr>
                <w:sz w:val="20"/>
                <w:szCs w:val="20"/>
              </w:rPr>
            </w:pPr>
            <w:r>
              <w:rPr>
                <w:sz w:val="20"/>
                <w:szCs w:val="20"/>
              </w:rPr>
              <w:t>Consolidate Existing Governance S</w:t>
            </w:r>
            <w:r w:rsidR="00F45EF0">
              <w:rPr>
                <w:sz w:val="20"/>
                <w:szCs w:val="20"/>
              </w:rPr>
              <w:t>tructures</w:t>
            </w:r>
          </w:p>
        </w:tc>
        <w:tc>
          <w:tcPr>
            <w:tcW w:w="1333" w:type="dxa"/>
            <w:shd w:val="clear" w:color="auto" w:fill="F2DBDB"/>
          </w:tcPr>
          <w:p w:rsidR="00F45EF0" w:rsidRPr="001D08C5" w:rsidRDefault="00F45EF0" w:rsidP="00F45EF0">
            <w:pPr>
              <w:spacing w:after="60"/>
              <w:rPr>
                <w:sz w:val="20"/>
                <w:szCs w:val="20"/>
              </w:rPr>
            </w:pPr>
            <w:r>
              <w:rPr>
                <w:sz w:val="20"/>
                <w:szCs w:val="20"/>
              </w:rPr>
              <w:t>PM-ISE</w:t>
            </w:r>
          </w:p>
        </w:tc>
        <w:tc>
          <w:tcPr>
            <w:tcW w:w="5058" w:type="dxa"/>
            <w:shd w:val="clear" w:color="auto" w:fill="F2DBDB"/>
          </w:tcPr>
          <w:p w:rsidR="00683F2F" w:rsidRDefault="00683F2F" w:rsidP="003C4015">
            <w:pPr>
              <w:numPr>
                <w:ilvl w:val="0"/>
                <w:numId w:val="14"/>
              </w:numPr>
              <w:spacing w:after="60"/>
              <w:ind w:left="162" w:hanging="162"/>
              <w:rPr>
                <w:sz w:val="20"/>
                <w:szCs w:val="20"/>
              </w:rPr>
            </w:pPr>
            <w:r>
              <w:rPr>
                <w:sz w:val="20"/>
                <w:szCs w:val="20"/>
              </w:rPr>
              <w:t>Define a strong and transparent governance model for standards across mission partners</w:t>
            </w:r>
          </w:p>
          <w:p w:rsidR="00683F2F" w:rsidRPr="00683F2F" w:rsidRDefault="00F45EF0" w:rsidP="003C4015">
            <w:pPr>
              <w:numPr>
                <w:ilvl w:val="0"/>
                <w:numId w:val="14"/>
              </w:numPr>
              <w:spacing w:after="60"/>
              <w:ind w:left="162" w:hanging="162"/>
              <w:rPr>
                <w:sz w:val="20"/>
                <w:szCs w:val="20"/>
              </w:rPr>
            </w:pPr>
            <w:r w:rsidRPr="00683F2F">
              <w:rPr>
                <w:sz w:val="20"/>
                <w:szCs w:val="20"/>
              </w:rPr>
              <w:t xml:space="preserve">Align SCC under the </w:t>
            </w:r>
            <w:r w:rsidR="007343ED" w:rsidRPr="00683F2F">
              <w:rPr>
                <w:sz w:val="20"/>
                <w:szCs w:val="20"/>
              </w:rPr>
              <w:t>Information Sharing and Access Interagency Policy Committee (</w:t>
            </w:r>
            <w:r w:rsidRPr="00683F2F">
              <w:rPr>
                <w:sz w:val="20"/>
                <w:szCs w:val="20"/>
              </w:rPr>
              <w:t>ISA-IPC</w:t>
            </w:r>
            <w:r w:rsidR="007343ED" w:rsidRPr="00683F2F">
              <w:rPr>
                <w:sz w:val="20"/>
                <w:szCs w:val="20"/>
              </w:rPr>
              <w:t>)</w:t>
            </w:r>
          </w:p>
          <w:p w:rsidR="00F45EF0" w:rsidRPr="00964BE4" w:rsidRDefault="00683F2F" w:rsidP="003C4015">
            <w:pPr>
              <w:numPr>
                <w:ilvl w:val="0"/>
                <w:numId w:val="14"/>
              </w:numPr>
              <w:spacing w:after="60"/>
              <w:ind w:left="162" w:hanging="162"/>
              <w:rPr>
                <w:sz w:val="20"/>
                <w:szCs w:val="20"/>
              </w:rPr>
            </w:pPr>
            <w:r>
              <w:rPr>
                <w:sz w:val="20"/>
                <w:szCs w:val="20"/>
              </w:rPr>
              <w:t>Identify the relationship between the SCC and the Standards Working Group (SWG)</w:t>
            </w:r>
          </w:p>
        </w:tc>
      </w:tr>
      <w:tr w:rsidR="003C4015" w:rsidRPr="001D08C5" w:rsidTr="00C65E41">
        <w:trPr>
          <w:jc w:val="center"/>
        </w:trPr>
        <w:tc>
          <w:tcPr>
            <w:tcW w:w="1368" w:type="dxa"/>
            <w:vMerge w:val="restart"/>
            <w:shd w:val="clear" w:color="auto" w:fill="F2DBDB"/>
            <w:vAlign w:val="center"/>
          </w:tcPr>
          <w:p w:rsidR="003C4015" w:rsidRPr="00F45EF0" w:rsidRDefault="003C4015" w:rsidP="001A186F">
            <w:pPr>
              <w:spacing w:after="60"/>
              <w:jc w:val="center"/>
              <w:rPr>
                <w:sz w:val="20"/>
                <w:szCs w:val="20"/>
              </w:rPr>
            </w:pPr>
            <w:r>
              <w:rPr>
                <w:sz w:val="20"/>
                <w:szCs w:val="20"/>
              </w:rPr>
              <w:t>Long</w:t>
            </w:r>
            <w:r w:rsidRPr="00F45EF0">
              <w:rPr>
                <w:sz w:val="20"/>
                <w:szCs w:val="20"/>
              </w:rPr>
              <w:t>-term</w:t>
            </w:r>
          </w:p>
          <w:p w:rsidR="003C4015" w:rsidRPr="00F45EF0" w:rsidRDefault="003C4015" w:rsidP="001A186F">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3C4015" w:rsidRPr="00F45EF0" w:rsidRDefault="007343ED" w:rsidP="00F45EF0">
            <w:pPr>
              <w:spacing w:after="60"/>
              <w:rPr>
                <w:sz w:val="20"/>
                <w:szCs w:val="20"/>
              </w:rPr>
            </w:pPr>
            <w:r>
              <w:rPr>
                <w:sz w:val="20"/>
                <w:szCs w:val="20"/>
              </w:rPr>
              <w:t>Conduct Standards Communication and O</w:t>
            </w:r>
            <w:r w:rsidR="003C4015" w:rsidRPr="00F45EF0">
              <w:rPr>
                <w:sz w:val="20"/>
                <w:szCs w:val="20"/>
              </w:rPr>
              <w:t>utreach</w:t>
            </w:r>
          </w:p>
        </w:tc>
        <w:tc>
          <w:tcPr>
            <w:tcW w:w="1333" w:type="dxa"/>
            <w:shd w:val="clear" w:color="auto" w:fill="F2DBDB"/>
          </w:tcPr>
          <w:p w:rsidR="003C4015" w:rsidRPr="00F45EF0" w:rsidRDefault="003C4015" w:rsidP="00F45EF0">
            <w:pPr>
              <w:spacing w:after="60"/>
              <w:rPr>
                <w:sz w:val="20"/>
                <w:szCs w:val="20"/>
              </w:rPr>
            </w:pPr>
            <w:r w:rsidRPr="00F45EF0">
              <w:rPr>
                <w:sz w:val="20"/>
                <w:szCs w:val="20"/>
              </w:rPr>
              <w:t>SCC Partners</w:t>
            </w:r>
          </w:p>
        </w:tc>
        <w:tc>
          <w:tcPr>
            <w:tcW w:w="5058" w:type="dxa"/>
            <w:shd w:val="clear" w:color="auto" w:fill="F2DBDB"/>
          </w:tcPr>
          <w:p w:rsidR="009911B8" w:rsidRDefault="003C4015" w:rsidP="003C4015">
            <w:pPr>
              <w:numPr>
                <w:ilvl w:val="0"/>
                <w:numId w:val="14"/>
              </w:numPr>
              <w:spacing w:after="60"/>
              <w:ind w:left="162" w:hanging="162"/>
              <w:rPr>
                <w:sz w:val="20"/>
                <w:szCs w:val="20"/>
              </w:rPr>
            </w:pPr>
            <w:r w:rsidRPr="001D08C5">
              <w:rPr>
                <w:sz w:val="20"/>
                <w:szCs w:val="20"/>
              </w:rPr>
              <w:t>Leverage ISE stakeholder analysis results to identify additional opportunities to engag</w:t>
            </w:r>
            <w:r w:rsidR="009911B8">
              <w:rPr>
                <w:sz w:val="20"/>
                <w:szCs w:val="20"/>
              </w:rPr>
              <w:t>e broader stakeholder audiences</w:t>
            </w:r>
          </w:p>
          <w:p w:rsidR="003C4015" w:rsidRPr="001D08C5" w:rsidRDefault="003C4015" w:rsidP="003C4015">
            <w:pPr>
              <w:numPr>
                <w:ilvl w:val="0"/>
                <w:numId w:val="14"/>
              </w:numPr>
              <w:spacing w:after="60"/>
              <w:ind w:left="162" w:hanging="162"/>
              <w:rPr>
                <w:sz w:val="20"/>
                <w:szCs w:val="20"/>
              </w:rPr>
            </w:pPr>
            <w:r w:rsidRPr="001D08C5">
              <w:rPr>
                <w:sz w:val="20"/>
                <w:szCs w:val="20"/>
              </w:rPr>
              <w:t>Target industry vendors through SDOs and other forums to communicate value proposition of in-progress or completed standards activities</w:t>
            </w:r>
          </w:p>
          <w:p w:rsidR="003C4015" w:rsidRPr="001D08C5" w:rsidRDefault="003C4015" w:rsidP="003C4015">
            <w:pPr>
              <w:numPr>
                <w:ilvl w:val="0"/>
                <w:numId w:val="14"/>
              </w:numPr>
              <w:spacing w:after="60"/>
              <w:ind w:left="162" w:hanging="162"/>
              <w:rPr>
                <w:sz w:val="20"/>
                <w:szCs w:val="20"/>
              </w:rPr>
            </w:pPr>
            <w:r w:rsidRPr="001D08C5">
              <w:rPr>
                <w:sz w:val="20"/>
                <w:szCs w:val="20"/>
              </w:rPr>
              <w:t>Coordinate across SDO and other industry events to communicate accomplishments</w:t>
            </w:r>
          </w:p>
          <w:p w:rsidR="003C4015" w:rsidRPr="00964BE4" w:rsidRDefault="003C4015" w:rsidP="003C4015">
            <w:pPr>
              <w:numPr>
                <w:ilvl w:val="0"/>
                <w:numId w:val="14"/>
              </w:numPr>
              <w:spacing w:after="60"/>
              <w:ind w:left="162" w:hanging="162"/>
              <w:rPr>
                <w:sz w:val="20"/>
                <w:szCs w:val="20"/>
              </w:rPr>
            </w:pPr>
            <w:r w:rsidRPr="001D08C5">
              <w:rPr>
                <w:sz w:val="20"/>
                <w:szCs w:val="20"/>
              </w:rPr>
              <w:t>Publicize results via ISE annual report and other partner publications</w:t>
            </w:r>
          </w:p>
        </w:tc>
      </w:tr>
      <w:tr w:rsidR="003C4015" w:rsidRPr="001D08C5" w:rsidTr="00C65E41">
        <w:trPr>
          <w:jc w:val="center"/>
        </w:trPr>
        <w:tc>
          <w:tcPr>
            <w:tcW w:w="1368" w:type="dxa"/>
            <w:vMerge/>
            <w:shd w:val="clear" w:color="auto" w:fill="F2DBDB"/>
          </w:tcPr>
          <w:p w:rsidR="003C4015" w:rsidRPr="00F45EF0" w:rsidRDefault="003C4015" w:rsidP="00F45EF0">
            <w:pPr>
              <w:spacing w:after="60"/>
              <w:rPr>
                <w:sz w:val="20"/>
                <w:szCs w:val="20"/>
              </w:rPr>
            </w:pPr>
          </w:p>
        </w:tc>
        <w:tc>
          <w:tcPr>
            <w:tcW w:w="1817" w:type="dxa"/>
            <w:shd w:val="clear" w:color="auto" w:fill="F2DBDB"/>
          </w:tcPr>
          <w:p w:rsidR="003C4015" w:rsidRPr="00F45EF0" w:rsidRDefault="009911B8" w:rsidP="00F45EF0">
            <w:pPr>
              <w:spacing w:after="60"/>
              <w:rPr>
                <w:sz w:val="20"/>
                <w:szCs w:val="20"/>
              </w:rPr>
            </w:pPr>
            <w:r>
              <w:rPr>
                <w:sz w:val="20"/>
                <w:szCs w:val="20"/>
              </w:rPr>
              <w:t>Conduct Annual Standards S</w:t>
            </w:r>
            <w:r w:rsidR="003C4015" w:rsidRPr="00F45EF0">
              <w:rPr>
                <w:sz w:val="20"/>
                <w:szCs w:val="20"/>
              </w:rPr>
              <w:t>ummit</w:t>
            </w:r>
          </w:p>
        </w:tc>
        <w:tc>
          <w:tcPr>
            <w:tcW w:w="1333" w:type="dxa"/>
            <w:shd w:val="clear" w:color="auto" w:fill="F2DBDB"/>
          </w:tcPr>
          <w:p w:rsidR="003C4015" w:rsidRPr="00F45EF0" w:rsidRDefault="00973591" w:rsidP="00F45EF0">
            <w:pPr>
              <w:spacing w:after="60"/>
              <w:rPr>
                <w:sz w:val="20"/>
                <w:szCs w:val="20"/>
              </w:rPr>
            </w:pPr>
            <w:r>
              <w:rPr>
                <w:sz w:val="20"/>
                <w:szCs w:val="20"/>
              </w:rPr>
              <w:t xml:space="preserve">PM-ISE, </w:t>
            </w:r>
            <w:r w:rsidR="003C4015" w:rsidRPr="00F45EF0">
              <w:rPr>
                <w:sz w:val="20"/>
                <w:szCs w:val="20"/>
              </w:rPr>
              <w:t>SCC Partners</w:t>
            </w:r>
          </w:p>
        </w:tc>
        <w:tc>
          <w:tcPr>
            <w:tcW w:w="5058" w:type="dxa"/>
            <w:shd w:val="clear" w:color="auto" w:fill="F2DBDB"/>
          </w:tcPr>
          <w:p w:rsidR="003C4015" w:rsidRPr="001D08C5" w:rsidRDefault="003C4015" w:rsidP="003C4015">
            <w:pPr>
              <w:numPr>
                <w:ilvl w:val="0"/>
                <w:numId w:val="14"/>
              </w:numPr>
              <w:spacing w:after="60"/>
              <w:ind w:left="162" w:hanging="162"/>
              <w:rPr>
                <w:sz w:val="20"/>
                <w:szCs w:val="20"/>
              </w:rPr>
            </w:pPr>
            <w:r>
              <w:rPr>
                <w:sz w:val="20"/>
                <w:szCs w:val="20"/>
              </w:rPr>
              <w:t>C</w:t>
            </w:r>
            <w:r w:rsidRPr="001D08C5">
              <w:rPr>
                <w:sz w:val="20"/>
                <w:szCs w:val="20"/>
              </w:rPr>
              <w:t>onduct WIS3 follow-up briefing driving leadership and coordination across partners</w:t>
            </w:r>
          </w:p>
          <w:p w:rsidR="003C4015" w:rsidRPr="000A19BC" w:rsidRDefault="003C4015" w:rsidP="000A19BC">
            <w:pPr>
              <w:numPr>
                <w:ilvl w:val="1"/>
                <w:numId w:val="19"/>
              </w:numPr>
              <w:spacing w:after="60"/>
              <w:ind w:left="968" w:hanging="248"/>
              <w:rPr>
                <w:bCs/>
                <w:sz w:val="20"/>
              </w:rPr>
            </w:pPr>
            <w:r w:rsidRPr="000A19BC">
              <w:rPr>
                <w:bCs/>
                <w:sz w:val="20"/>
              </w:rPr>
              <w:t>Communicate accomplishments</w:t>
            </w:r>
          </w:p>
          <w:p w:rsidR="003C4015" w:rsidRPr="00F45EF0" w:rsidRDefault="003C4015" w:rsidP="000A19BC">
            <w:pPr>
              <w:numPr>
                <w:ilvl w:val="1"/>
                <w:numId w:val="19"/>
              </w:numPr>
              <w:spacing w:after="60"/>
              <w:ind w:left="968" w:hanging="248"/>
              <w:rPr>
                <w:sz w:val="20"/>
                <w:szCs w:val="20"/>
              </w:rPr>
            </w:pPr>
            <w:r w:rsidRPr="000A19BC">
              <w:rPr>
                <w:bCs/>
                <w:sz w:val="20"/>
              </w:rPr>
              <w:t>Present roadmap for 2013</w:t>
            </w:r>
          </w:p>
        </w:tc>
      </w:tr>
    </w:tbl>
    <w:p w:rsidR="00F45EF0" w:rsidRPr="00F45EF0" w:rsidRDefault="00F45EF0" w:rsidP="00F45EF0"/>
    <w:p w:rsidR="00F5459F" w:rsidRDefault="00D67B79" w:rsidP="00F5459F">
      <w:pPr>
        <w:pStyle w:val="Heading1"/>
      </w:pPr>
      <w:r>
        <w:t>National Information Exchange Model</w:t>
      </w:r>
    </w:p>
    <w:p w:rsidR="00390DC2" w:rsidRDefault="00532CF6" w:rsidP="00D67B79">
      <w:pPr>
        <w:pStyle w:val="ListParagraph"/>
        <w:spacing w:after="240"/>
        <w:ind w:left="0"/>
      </w:pPr>
      <w:r>
        <w:t xml:space="preserve">Over the last several years, </w:t>
      </w:r>
      <w:r w:rsidR="003033A9">
        <w:t xml:space="preserve">NIEM has made many accomplishments including:  strengthened the overall management approach of the program, increased community participation through an aggressive communications campaign, and rolled out an extensive training program for implementers to reduce complexity of using the model.  Given the current fiscal pressures, NIEM still has opportunities to </w:t>
      </w:r>
      <w:r>
        <w:t>identify</w:t>
      </w:r>
      <w:r w:rsidR="003033A9">
        <w:t xml:space="preserve"> innovative strateg</w:t>
      </w:r>
      <w:r>
        <w:t>ies to scale governance, build</w:t>
      </w:r>
      <w:r w:rsidR="003033A9">
        <w:t xml:space="preserve"> a sustainable business model to include shared approaches and efficiencies, and to foster the broader engagement of industry.  </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1A186F" w:rsidRPr="001D08C5" w:rsidTr="00E354F2">
        <w:trPr>
          <w:jc w:val="center"/>
        </w:trPr>
        <w:tc>
          <w:tcPr>
            <w:tcW w:w="9914" w:type="dxa"/>
            <w:gridSpan w:val="2"/>
            <w:shd w:val="clear" w:color="auto" w:fill="632423"/>
          </w:tcPr>
          <w:p w:rsidR="001A186F" w:rsidRPr="001D08C5" w:rsidRDefault="001A186F" w:rsidP="001A186F">
            <w:pPr>
              <w:spacing w:after="60"/>
              <w:rPr>
                <w:b/>
                <w:sz w:val="20"/>
                <w:szCs w:val="20"/>
              </w:rPr>
            </w:pPr>
            <w:r w:rsidRPr="001D08C5">
              <w:rPr>
                <w:b/>
                <w:sz w:val="20"/>
                <w:szCs w:val="20"/>
              </w:rPr>
              <w:t>Category Overview</w:t>
            </w:r>
          </w:p>
        </w:tc>
      </w:tr>
      <w:tr w:rsidR="001A186F" w:rsidRPr="001D08C5" w:rsidTr="00E354F2">
        <w:trPr>
          <w:jc w:val="center"/>
        </w:trPr>
        <w:tc>
          <w:tcPr>
            <w:tcW w:w="1975" w:type="dxa"/>
            <w:shd w:val="clear" w:color="auto" w:fill="632423"/>
          </w:tcPr>
          <w:p w:rsidR="001A186F" w:rsidRPr="001D08C5" w:rsidRDefault="001A186F" w:rsidP="001A186F">
            <w:pPr>
              <w:spacing w:after="60"/>
              <w:rPr>
                <w:b/>
                <w:bCs/>
                <w:sz w:val="20"/>
                <w:szCs w:val="20"/>
              </w:rPr>
            </w:pPr>
            <w:r w:rsidRPr="001D08C5">
              <w:rPr>
                <w:b/>
                <w:bCs/>
                <w:sz w:val="20"/>
                <w:szCs w:val="20"/>
              </w:rPr>
              <w:t>Business Value</w:t>
            </w:r>
          </w:p>
        </w:tc>
        <w:tc>
          <w:tcPr>
            <w:tcW w:w="7939" w:type="dxa"/>
            <w:shd w:val="clear" w:color="auto" w:fill="F2DBDB"/>
          </w:tcPr>
          <w:p w:rsidR="001A186F" w:rsidRDefault="007343ED" w:rsidP="001A186F">
            <w:pPr>
              <w:numPr>
                <w:ilvl w:val="0"/>
                <w:numId w:val="14"/>
              </w:numPr>
              <w:spacing w:after="60"/>
              <w:ind w:left="162" w:hanging="162"/>
              <w:rPr>
                <w:sz w:val="20"/>
                <w:szCs w:val="20"/>
              </w:rPr>
            </w:pPr>
            <w:r>
              <w:rPr>
                <w:sz w:val="20"/>
                <w:szCs w:val="20"/>
              </w:rPr>
              <w:t xml:space="preserve">Governance structure that integrates and supports </w:t>
            </w:r>
            <w:r w:rsidR="004C79B2" w:rsidRPr="004C79B2">
              <w:rPr>
                <w:sz w:val="20"/>
                <w:szCs w:val="20"/>
              </w:rPr>
              <w:t>continuous cooperative development, testing and adoption by industry and the user community</w:t>
            </w:r>
          </w:p>
          <w:p w:rsidR="007343ED" w:rsidRDefault="007343ED" w:rsidP="001A186F">
            <w:pPr>
              <w:numPr>
                <w:ilvl w:val="0"/>
                <w:numId w:val="14"/>
              </w:numPr>
              <w:spacing w:after="60"/>
              <w:ind w:left="162" w:hanging="162"/>
              <w:rPr>
                <w:sz w:val="20"/>
                <w:szCs w:val="20"/>
              </w:rPr>
            </w:pPr>
            <w:r>
              <w:rPr>
                <w:sz w:val="20"/>
                <w:szCs w:val="20"/>
              </w:rPr>
              <w:t>Innovative program that is sustainable through the upcoming austere budget environment</w:t>
            </w:r>
          </w:p>
          <w:p w:rsidR="007343ED" w:rsidRDefault="007343ED" w:rsidP="001A186F">
            <w:pPr>
              <w:numPr>
                <w:ilvl w:val="0"/>
                <w:numId w:val="14"/>
              </w:numPr>
              <w:spacing w:after="60"/>
              <w:ind w:left="162" w:hanging="162"/>
              <w:rPr>
                <w:sz w:val="20"/>
                <w:szCs w:val="20"/>
              </w:rPr>
            </w:pPr>
            <w:r>
              <w:rPr>
                <w:sz w:val="20"/>
                <w:szCs w:val="20"/>
              </w:rPr>
              <w:t>An ecosystem approach to the development of NIEM that increases the value proposition across the broad set of stakeholders</w:t>
            </w:r>
          </w:p>
          <w:p w:rsidR="00693E80" w:rsidRPr="001D08C5" w:rsidRDefault="00693E80" w:rsidP="00693E80">
            <w:pPr>
              <w:numPr>
                <w:ilvl w:val="0"/>
                <w:numId w:val="14"/>
              </w:numPr>
              <w:spacing w:after="60"/>
              <w:ind w:left="162" w:hanging="162"/>
              <w:rPr>
                <w:sz w:val="20"/>
                <w:szCs w:val="20"/>
              </w:rPr>
            </w:pPr>
            <w:r>
              <w:rPr>
                <w:sz w:val="20"/>
                <w:szCs w:val="20"/>
              </w:rPr>
              <w:t>Expanding participation in the NIEM model and tool development</w:t>
            </w:r>
            <w:r w:rsidRPr="00693E80">
              <w:rPr>
                <w:sz w:val="20"/>
                <w:szCs w:val="20"/>
              </w:rPr>
              <w:t xml:space="preserve"> to reduce operational costs and broaden adoption</w:t>
            </w:r>
          </w:p>
        </w:tc>
      </w:tr>
      <w:tr w:rsidR="001A186F" w:rsidRPr="001D08C5" w:rsidTr="00E354F2">
        <w:trPr>
          <w:jc w:val="center"/>
        </w:trPr>
        <w:tc>
          <w:tcPr>
            <w:tcW w:w="1975" w:type="dxa"/>
            <w:shd w:val="clear" w:color="auto" w:fill="632423"/>
          </w:tcPr>
          <w:p w:rsidR="001A186F" w:rsidRPr="001D08C5" w:rsidRDefault="001A186F" w:rsidP="001A186F">
            <w:pPr>
              <w:spacing w:after="60"/>
              <w:rPr>
                <w:b/>
                <w:bCs/>
                <w:sz w:val="20"/>
                <w:szCs w:val="20"/>
              </w:rPr>
            </w:pPr>
            <w:r w:rsidRPr="001D08C5">
              <w:rPr>
                <w:b/>
                <w:bCs/>
                <w:sz w:val="20"/>
                <w:szCs w:val="20"/>
              </w:rPr>
              <w:t>Relevancy to other recommendations</w:t>
            </w:r>
          </w:p>
        </w:tc>
        <w:tc>
          <w:tcPr>
            <w:tcW w:w="7939" w:type="dxa"/>
            <w:shd w:val="clear" w:color="auto" w:fill="F2DBDB"/>
          </w:tcPr>
          <w:p w:rsidR="007343ED" w:rsidRPr="001D08C5" w:rsidRDefault="007343ED" w:rsidP="001A186F">
            <w:pPr>
              <w:numPr>
                <w:ilvl w:val="0"/>
                <w:numId w:val="14"/>
              </w:numPr>
              <w:spacing w:after="60"/>
              <w:ind w:left="162" w:hanging="162"/>
              <w:rPr>
                <w:bCs/>
                <w:sz w:val="20"/>
                <w:szCs w:val="20"/>
              </w:rPr>
            </w:pPr>
            <w:r>
              <w:rPr>
                <w:sz w:val="20"/>
                <w:szCs w:val="20"/>
              </w:rPr>
              <w:t>Completion of activities such as the NIEM Unified Modeling Language (UML) Profile link directly to the development of functional standards and continued interoperability between standards and systems</w:t>
            </w:r>
          </w:p>
        </w:tc>
      </w:tr>
    </w:tbl>
    <w:p w:rsidR="001A186F" w:rsidRDefault="001A186F" w:rsidP="001A186F"/>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1A186F" w:rsidRPr="001D08C5" w:rsidTr="003B27A0">
        <w:trPr>
          <w:tblHeader/>
          <w:jc w:val="center"/>
        </w:trPr>
        <w:tc>
          <w:tcPr>
            <w:tcW w:w="9914" w:type="dxa"/>
            <w:gridSpan w:val="4"/>
            <w:shd w:val="clear" w:color="auto" w:fill="632423"/>
          </w:tcPr>
          <w:p w:rsidR="001A186F" w:rsidRPr="001D08C5" w:rsidRDefault="001A186F" w:rsidP="001A186F">
            <w:pPr>
              <w:spacing w:after="60"/>
              <w:rPr>
                <w:b/>
                <w:sz w:val="20"/>
                <w:szCs w:val="20"/>
              </w:rPr>
            </w:pPr>
            <w:r>
              <w:rPr>
                <w:b/>
                <w:sz w:val="20"/>
                <w:szCs w:val="20"/>
              </w:rPr>
              <w:t>Action Item Overview</w:t>
            </w:r>
          </w:p>
        </w:tc>
      </w:tr>
      <w:tr w:rsidR="001A186F" w:rsidRPr="001D08C5" w:rsidTr="003B27A0">
        <w:trPr>
          <w:trHeight w:val="610"/>
          <w:tblHeader/>
          <w:jc w:val="center"/>
        </w:trPr>
        <w:tc>
          <w:tcPr>
            <w:tcW w:w="3297" w:type="dxa"/>
            <w:gridSpan w:val="2"/>
            <w:shd w:val="clear" w:color="auto" w:fill="632423"/>
            <w:vAlign w:val="center"/>
          </w:tcPr>
          <w:p w:rsidR="001A186F" w:rsidRPr="001D08C5" w:rsidRDefault="001A186F" w:rsidP="001A186F">
            <w:pPr>
              <w:spacing w:after="60"/>
              <w:jc w:val="center"/>
              <w:rPr>
                <w:b/>
                <w:sz w:val="20"/>
                <w:szCs w:val="20"/>
              </w:rPr>
            </w:pPr>
            <w:r w:rsidRPr="001D08C5">
              <w:rPr>
                <w:b/>
                <w:sz w:val="20"/>
                <w:szCs w:val="20"/>
              </w:rPr>
              <w:t>Action</w:t>
            </w:r>
          </w:p>
        </w:tc>
        <w:tc>
          <w:tcPr>
            <w:tcW w:w="1380" w:type="dxa"/>
            <w:shd w:val="clear" w:color="auto" w:fill="632423"/>
            <w:vAlign w:val="center"/>
          </w:tcPr>
          <w:p w:rsidR="001A186F" w:rsidRPr="001D08C5" w:rsidRDefault="00876D58" w:rsidP="001A186F">
            <w:pPr>
              <w:spacing w:after="60"/>
              <w:jc w:val="center"/>
              <w:rPr>
                <w:b/>
                <w:sz w:val="20"/>
                <w:szCs w:val="20"/>
              </w:rPr>
            </w:pPr>
            <w:r>
              <w:rPr>
                <w:b/>
                <w:sz w:val="20"/>
                <w:szCs w:val="20"/>
              </w:rPr>
              <w:t xml:space="preserve">SCC </w:t>
            </w:r>
            <w:r w:rsidR="001A186F" w:rsidRPr="001D08C5">
              <w:rPr>
                <w:b/>
                <w:sz w:val="20"/>
                <w:szCs w:val="20"/>
              </w:rPr>
              <w:t>Lead Organization</w:t>
            </w:r>
          </w:p>
        </w:tc>
        <w:tc>
          <w:tcPr>
            <w:tcW w:w="5237" w:type="dxa"/>
            <w:shd w:val="clear" w:color="auto" w:fill="632423"/>
            <w:vAlign w:val="center"/>
          </w:tcPr>
          <w:p w:rsidR="001A186F" w:rsidRPr="001D08C5" w:rsidRDefault="001A186F" w:rsidP="001A186F">
            <w:pPr>
              <w:spacing w:after="60"/>
              <w:jc w:val="center"/>
              <w:rPr>
                <w:b/>
                <w:sz w:val="20"/>
                <w:szCs w:val="20"/>
              </w:rPr>
            </w:pPr>
            <w:r w:rsidRPr="001D08C5">
              <w:rPr>
                <w:b/>
                <w:sz w:val="20"/>
                <w:szCs w:val="20"/>
              </w:rPr>
              <w:t>Description</w:t>
            </w:r>
          </w:p>
        </w:tc>
      </w:tr>
      <w:tr w:rsidR="001A186F" w:rsidRPr="001D08C5" w:rsidTr="003B27A0">
        <w:trPr>
          <w:jc w:val="center"/>
        </w:trPr>
        <w:tc>
          <w:tcPr>
            <w:tcW w:w="1416" w:type="dxa"/>
            <w:vMerge w:val="restart"/>
            <w:shd w:val="clear" w:color="auto" w:fill="F2DBDB"/>
            <w:vAlign w:val="center"/>
          </w:tcPr>
          <w:p w:rsidR="001A186F" w:rsidRPr="00F45EF0" w:rsidRDefault="001A186F" w:rsidP="001A186F">
            <w:pPr>
              <w:spacing w:after="60"/>
              <w:jc w:val="center"/>
              <w:rPr>
                <w:sz w:val="20"/>
                <w:szCs w:val="20"/>
              </w:rPr>
            </w:pPr>
            <w:r w:rsidRPr="00F45EF0">
              <w:rPr>
                <w:sz w:val="20"/>
                <w:szCs w:val="20"/>
              </w:rPr>
              <w:t>Short-term</w:t>
            </w:r>
          </w:p>
          <w:p w:rsidR="001A186F" w:rsidRPr="00F45EF0" w:rsidRDefault="001A186F" w:rsidP="001A186F">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81" w:type="dxa"/>
            <w:shd w:val="clear" w:color="auto" w:fill="F2DBDB"/>
          </w:tcPr>
          <w:p w:rsidR="001A186F" w:rsidRPr="001D08C5" w:rsidRDefault="001A186F" w:rsidP="001A186F">
            <w:pPr>
              <w:spacing w:after="60"/>
              <w:rPr>
                <w:sz w:val="20"/>
                <w:szCs w:val="20"/>
              </w:rPr>
            </w:pPr>
            <w:r>
              <w:rPr>
                <w:sz w:val="20"/>
                <w:szCs w:val="20"/>
              </w:rPr>
              <w:t>Finalize NIEM UML Profile</w:t>
            </w:r>
          </w:p>
        </w:tc>
        <w:tc>
          <w:tcPr>
            <w:tcW w:w="1380" w:type="dxa"/>
            <w:shd w:val="clear" w:color="auto" w:fill="F2DBDB"/>
          </w:tcPr>
          <w:p w:rsidR="001A186F" w:rsidRPr="001D08C5" w:rsidRDefault="001A186F" w:rsidP="001A186F">
            <w:pPr>
              <w:spacing w:after="60"/>
              <w:rPr>
                <w:sz w:val="20"/>
                <w:szCs w:val="20"/>
              </w:rPr>
            </w:pPr>
            <w:r>
              <w:rPr>
                <w:sz w:val="20"/>
              </w:rPr>
              <w:t>NIEM PMO, PM-ISE and OMG</w:t>
            </w:r>
          </w:p>
        </w:tc>
        <w:tc>
          <w:tcPr>
            <w:tcW w:w="5237" w:type="dxa"/>
            <w:shd w:val="clear" w:color="auto" w:fill="F2DBDB"/>
          </w:tcPr>
          <w:p w:rsidR="001A186F" w:rsidRPr="000A19BC" w:rsidRDefault="001A186F" w:rsidP="000A19BC">
            <w:pPr>
              <w:numPr>
                <w:ilvl w:val="0"/>
                <w:numId w:val="14"/>
              </w:numPr>
              <w:spacing w:after="60"/>
              <w:ind w:left="162" w:hanging="162"/>
              <w:rPr>
                <w:sz w:val="20"/>
                <w:szCs w:val="20"/>
              </w:rPr>
            </w:pPr>
            <w:r w:rsidRPr="000A19BC">
              <w:rPr>
                <w:sz w:val="20"/>
                <w:szCs w:val="20"/>
              </w:rPr>
              <w:t>F</w:t>
            </w:r>
            <w:r w:rsidR="00532CF6">
              <w:rPr>
                <w:sz w:val="20"/>
                <w:szCs w:val="20"/>
              </w:rPr>
              <w:t xml:space="preserve">ebruary 2012  - submit draft </w:t>
            </w:r>
            <w:r w:rsidRPr="000A19BC">
              <w:rPr>
                <w:sz w:val="20"/>
                <w:szCs w:val="20"/>
              </w:rPr>
              <w:t xml:space="preserve">for </w:t>
            </w:r>
            <w:r w:rsidR="00532CF6">
              <w:rPr>
                <w:sz w:val="20"/>
                <w:szCs w:val="20"/>
              </w:rPr>
              <w:t xml:space="preserve">OMG </w:t>
            </w:r>
            <w:r w:rsidRPr="000A19BC">
              <w:rPr>
                <w:sz w:val="20"/>
                <w:szCs w:val="20"/>
              </w:rPr>
              <w:t>Task Force review</w:t>
            </w:r>
          </w:p>
          <w:p w:rsidR="001A186F" w:rsidRPr="00780E48" w:rsidRDefault="001A186F" w:rsidP="000A19BC">
            <w:pPr>
              <w:numPr>
                <w:ilvl w:val="0"/>
                <w:numId w:val="14"/>
              </w:numPr>
              <w:spacing w:after="60"/>
              <w:ind w:left="162" w:hanging="162"/>
              <w:rPr>
                <w:sz w:val="20"/>
              </w:rPr>
            </w:pPr>
            <w:r w:rsidRPr="000A19BC">
              <w:rPr>
                <w:sz w:val="20"/>
                <w:szCs w:val="20"/>
              </w:rPr>
              <w:t>March 2012 – support comment review process</w:t>
            </w:r>
          </w:p>
          <w:p w:rsidR="00780E48" w:rsidRPr="001A186F" w:rsidRDefault="00780E48" w:rsidP="000A19BC">
            <w:pPr>
              <w:numPr>
                <w:ilvl w:val="0"/>
                <w:numId w:val="14"/>
              </w:numPr>
              <w:spacing w:after="60"/>
              <w:ind w:left="162" w:hanging="162"/>
              <w:rPr>
                <w:sz w:val="20"/>
              </w:rPr>
            </w:pPr>
            <w:r>
              <w:rPr>
                <w:sz w:val="20"/>
                <w:szCs w:val="20"/>
              </w:rPr>
              <w:t>Integrate NIEM UML profile into existing NIEM training</w:t>
            </w:r>
          </w:p>
        </w:tc>
      </w:tr>
      <w:tr w:rsidR="001A186F" w:rsidRPr="001D08C5" w:rsidTr="003B27A0">
        <w:trPr>
          <w:jc w:val="center"/>
        </w:trPr>
        <w:tc>
          <w:tcPr>
            <w:tcW w:w="1416" w:type="dxa"/>
            <w:vMerge/>
            <w:shd w:val="clear" w:color="auto" w:fill="F2DBDB"/>
          </w:tcPr>
          <w:p w:rsidR="001A186F" w:rsidRPr="00F45EF0" w:rsidRDefault="001A186F" w:rsidP="001A186F">
            <w:pPr>
              <w:spacing w:after="60"/>
              <w:jc w:val="center"/>
              <w:rPr>
                <w:sz w:val="20"/>
                <w:szCs w:val="20"/>
              </w:rPr>
            </w:pPr>
          </w:p>
        </w:tc>
        <w:tc>
          <w:tcPr>
            <w:tcW w:w="1881" w:type="dxa"/>
            <w:shd w:val="clear" w:color="auto" w:fill="F2DBDB"/>
          </w:tcPr>
          <w:p w:rsidR="001A186F" w:rsidRPr="001D08C5" w:rsidRDefault="001A186F" w:rsidP="001A186F">
            <w:pPr>
              <w:spacing w:after="60"/>
              <w:rPr>
                <w:sz w:val="20"/>
                <w:szCs w:val="20"/>
              </w:rPr>
            </w:pPr>
            <w:r>
              <w:rPr>
                <w:sz w:val="20"/>
                <w:szCs w:val="20"/>
              </w:rPr>
              <w:t>Assess long-term NIEM business models</w:t>
            </w:r>
          </w:p>
        </w:tc>
        <w:tc>
          <w:tcPr>
            <w:tcW w:w="1380" w:type="dxa"/>
            <w:shd w:val="clear" w:color="auto" w:fill="F2DBDB"/>
          </w:tcPr>
          <w:p w:rsidR="001A186F" w:rsidRPr="001D08C5" w:rsidRDefault="001A186F" w:rsidP="001A186F">
            <w:pPr>
              <w:spacing w:after="60"/>
              <w:rPr>
                <w:sz w:val="20"/>
                <w:szCs w:val="20"/>
              </w:rPr>
            </w:pPr>
            <w:r>
              <w:rPr>
                <w:sz w:val="20"/>
                <w:szCs w:val="20"/>
              </w:rPr>
              <w:t>NIEM PMO</w:t>
            </w:r>
          </w:p>
        </w:tc>
        <w:tc>
          <w:tcPr>
            <w:tcW w:w="5237" w:type="dxa"/>
            <w:shd w:val="clear" w:color="auto" w:fill="F2DBDB"/>
          </w:tcPr>
          <w:p w:rsidR="001A186F" w:rsidRPr="001D08C5" w:rsidRDefault="001A186F" w:rsidP="00F66E9C">
            <w:pPr>
              <w:numPr>
                <w:ilvl w:val="0"/>
                <w:numId w:val="14"/>
              </w:numPr>
              <w:spacing w:after="60"/>
              <w:ind w:left="162" w:hanging="162"/>
              <w:rPr>
                <w:sz w:val="20"/>
                <w:szCs w:val="20"/>
              </w:rPr>
            </w:pPr>
            <w:r>
              <w:rPr>
                <w:sz w:val="20"/>
              </w:rPr>
              <w:t xml:space="preserve">Work with the NIEM </w:t>
            </w:r>
            <w:r w:rsidR="00532CF6">
              <w:rPr>
                <w:sz w:val="20"/>
              </w:rPr>
              <w:t>Executive Steering Council (</w:t>
            </w:r>
            <w:r>
              <w:rPr>
                <w:sz w:val="20"/>
              </w:rPr>
              <w:t>ESC</w:t>
            </w:r>
            <w:r w:rsidR="00532CF6">
              <w:rPr>
                <w:sz w:val="20"/>
              </w:rPr>
              <w:t>)</w:t>
            </w:r>
            <w:r>
              <w:rPr>
                <w:sz w:val="20"/>
              </w:rPr>
              <w:t xml:space="preserve"> to agree to next steps on longer-term business models and governance approaches</w:t>
            </w:r>
          </w:p>
        </w:tc>
      </w:tr>
      <w:tr w:rsidR="008A3A75" w:rsidRPr="001D08C5" w:rsidTr="003B27A0">
        <w:trPr>
          <w:jc w:val="center"/>
        </w:trPr>
        <w:tc>
          <w:tcPr>
            <w:tcW w:w="1416" w:type="dxa"/>
            <w:vMerge w:val="restart"/>
            <w:shd w:val="clear" w:color="auto" w:fill="F2DBDB"/>
            <w:vAlign w:val="center"/>
          </w:tcPr>
          <w:p w:rsidR="008A3A75" w:rsidRPr="00F45EF0" w:rsidRDefault="008A3A75" w:rsidP="00814443">
            <w:pPr>
              <w:spacing w:after="60"/>
              <w:jc w:val="center"/>
              <w:rPr>
                <w:sz w:val="20"/>
                <w:szCs w:val="20"/>
              </w:rPr>
            </w:pPr>
            <w:r>
              <w:rPr>
                <w:sz w:val="20"/>
                <w:szCs w:val="20"/>
              </w:rPr>
              <w:t>Long</w:t>
            </w:r>
            <w:r w:rsidRPr="00F45EF0">
              <w:rPr>
                <w:sz w:val="20"/>
                <w:szCs w:val="20"/>
              </w:rPr>
              <w:t>-term</w:t>
            </w:r>
          </w:p>
          <w:p w:rsidR="008A3A75" w:rsidRDefault="008A3A75" w:rsidP="00814443">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81" w:type="dxa"/>
            <w:shd w:val="clear" w:color="auto" w:fill="F2DBDB"/>
          </w:tcPr>
          <w:p w:rsidR="008A3A75" w:rsidRDefault="008A3A75" w:rsidP="001A186F">
            <w:pPr>
              <w:spacing w:after="60"/>
              <w:rPr>
                <w:sz w:val="20"/>
                <w:szCs w:val="20"/>
              </w:rPr>
            </w:pPr>
            <w:r>
              <w:rPr>
                <w:sz w:val="20"/>
                <w:szCs w:val="20"/>
              </w:rPr>
              <w:t>Continued Marketing of NIEM UML Profile</w:t>
            </w:r>
          </w:p>
        </w:tc>
        <w:tc>
          <w:tcPr>
            <w:tcW w:w="1380" w:type="dxa"/>
            <w:shd w:val="clear" w:color="auto" w:fill="F2DBDB"/>
          </w:tcPr>
          <w:p w:rsidR="008A3A75" w:rsidRDefault="008A3A75" w:rsidP="001A186F">
            <w:pPr>
              <w:spacing w:after="60"/>
              <w:rPr>
                <w:sz w:val="20"/>
                <w:szCs w:val="20"/>
              </w:rPr>
            </w:pPr>
            <w:r>
              <w:rPr>
                <w:sz w:val="20"/>
              </w:rPr>
              <w:t>NIEM PMO, PM-ISE</w:t>
            </w:r>
            <w:r w:rsidR="00A50CBD">
              <w:rPr>
                <w:sz w:val="20"/>
              </w:rPr>
              <w:t>, OGC,</w:t>
            </w:r>
            <w:r>
              <w:rPr>
                <w:sz w:val="20"/>
              </w:rPr>
              <w:t xml:space="preserve"> and OMG</w:t>
            </w:r>
          </w:p>
        </w:tc>
        <w:tc>
          <w:tcPr>
            <w:tcW w:w="5237" w:type="dxa"/>
            <w:shd w:val="clear" w:color="auto" w:fill="F2DBDB"/>
          </w:tcPr>
          <w:p w:rsidR="008A3A75" w:rsidRDefault="008A3A75" w:rsidP="000A19BC">
            <w:pPr>
              <w:numPr>
                <w:ilvl w:val="0"/>
                <w:numId w:val="14"/>
              </w:numPr>
              <w:spacing w:after="60"/>
              <w:ind w:left="162" w:hanging="162"/>
              <w:rPr>
                <w:sz w:val="20"/>
              </w:rPr>
            </w:pPr>
            <w:r>
              <w:rPr>
                <w:sz w:val="20"/>
              </w:rPr>
              <w:t>Continue engaging with vendor community</w:t>
            </w:r>
          </w:p>
          <w:p w:rsidR="008A3A75" w:rsidRDefault="008A3A75" w:rsidP="000A19BC">
            <w:pPr>
              <w:numPr>
                <w:ilvl w:val="0"/>
                <w:numId w:val="14"/>
              </w:numPr>
              <w:spacing w:after="60"/>
              <w:ind w:left="162" w:hanging="162"/>
              <w:rPr>
                <w:sz w:val="20"/>
              </w:rPr>
            </w:pPr>
            <w:r>
              <w:rPr>
                <w:sz w:val="20"/>
              </w:rPr>
              <w:t xml:space="preserve">Look for opportunities to integrate with interoperability pilots and </w:t>
            </w:r>
            <w:r w:rsidR="00973591">
              <w:rPr>
                <w:sz w:val="20"/>
              </w:rPr>
              <w:t>leverage industry initiatives such as Springboard.</w:t>
            </w:r>
          </w:p>
          <w:p w:rsidR="008A3A75" w:rsidRDefault="008A3A75" w:rsidP="00796CA9">
            <w:pPr>
              <w:numPr>
                <w:ilvl w:val="0"/>
                <w:numId w:val="14"/>
              </w:numPr>
              <w:spacing w:after="60"/>
              <w:ind w:left="162" w:hanging="162"/>
              <w:rPr>
                <w:sz w:val="20"/>
              </w:rPr>
            </w:pPr>
            <w:r>
              <w:rPr>
                <w:sz w:val="20"/>
              </w:rPr>
              <w:t xml:space="preserve">Report results through annual </w:t>
            </w:r>
            <w:r w:rsidR="00796CA9">
              <w:rPr>
                <w:sz w:val="20"/>
              </w:rPr>
              <w:t>report, industry</w:t>
            </w:r>
            <w:r>
              <w:rPr>
                <w:sz w:val="20"/>
              </w:rPr>
              <w:t xml:space="preserve"> events</w:t>
            </w:r>
            <w:r w:rsidR="00796CA9">
              <w:rPr>
                <w:sz w:val="20"/>
              </w:rPr>
              <w:t>, and online videos/tutorials.</w:t>
            </w:r>
          </w:p>
        </w:tc>
      </w:tr>
      <w:tr w:rsidR="008A3A75" w:rsidRPr="001D08C5" w:rsidTr="003B27A0">
        <w:trPr>
          <w:jc w:val="center"/>
        </w:trPr>
        <w:tc>
          <w:tcPr>
            <w:tcW w:w="1416" w:type="dxa"/>
            <w:vMerge/>
            <w:shd w:val="clear" w:color="auto" w:fill="F2DBDB"/>
            <w:vAlign w:val="center"/>
          </w:tcPr>
          <w:p w:rsidR="008A3A75" w:rsidRPr="00F45EF0" w:rsidRDefault="008A3A75" w:rsidP="00814443">
            <w:pPr>
              <w:spacing w:after="60"/>
              <w:jc w:val="center"/>
              <w:rPr>
                <w:sz w:val="20"/>
                <w:szCs w:val="20"/>
              </w:rPr>
            </w:pPr>
          </w:p>
        </w:tc>
        <w:tc>
          <w:tcPr>
            <w:tcW w:w="1881" w:type="dxa"/>
            <w:shd w:val="clear" w:color="auto" w:fill="F2DBDB"/>
          </w:tcPr>
          <w:p w:rsidR="008A3A75" w:rsidRPr="001D08C5" w:rsidRDefault="008A3A75" w:rsidP="001A186F">
            <w:pPr>
              <w:spacing w:after="60"/>
              <w:rPr>
                <w:sz w:val="20"/>
                <w:szCs w:val="20"/>
              </w:rPr>
            </w:pPr>
            <w:r>
              <w:rPr>
                <w:sz w:val="20"/>
                <w:szCs w:val="20"/>
              </w:rPr>
              <w:t>Integrate NIEM and UCore</w:t>
            </w:r>
          </w:p>
        </w:tc>
        <w:tc>
          <w:tcPr>
            <w:tcW w:w="1380" w:type="dxa"/>
            <w:shd w:val="clear" w:color="auto" w:fill="F2DBDB"/>
          </w:tcPr>
          <w:p w:rsidR="008A3A75" w:rsidRPr="001D08C5" w:rsidRDefault="008A3A75" w:rsidP="001A186F">
            <w:pPr>
              <w:spacing w:after="60"/>
              <w:rPr>
                <w:sz w:val="20"/>
                <w:szCs w:val="20"/>
              </w:rPr>
            </w:pPr>
            <w:r>
              <w:rPr>
                <w:sz w:val="20"/>
                <w:szCs w:val="20"/>
              </w:rPr>
              <w:t>NIEM PMO and PM-ISE</w:t>
            </w:r>
          </w:p>
        </w:tc>
        <w:tc>
          <w:tcPr>
            <w:tcW w:w="5237" w:type="dxa"/>
            <w:shd w:val="clear" w:color="auto" w:fill="F2DBDB"/>
          </w:tcPr>
          <w:p w:rsidR="008A3A75" w:rsidRDefault="008A3A75" w:rsidP="000A19BC">
            <w:pPr>
              <w:numPr>
                <w:ilvl w:val="0"/>
                <w:numId w:val="14"/>
              </w:numPr>
              <w:spacing w:after="60"/>
              <w:ind w:left="162" w:hanging="162"/>
              <w:rPr>
                <w:sz w:val="20"/>
              </w:rPr>
            </w:pPr>
            <w:r>
              <w:rPr>
                <w:sz w:val="20"/>
              </w:rPr>
              <w:t>NIEM PMO and PM-ISE representatives to continue to participate in Universal Core (UCore) Governance and Technical working groups</w:t>
            </w:r>
          </w:p>
          <w:p w:rsidR="008A3A75" w:rsidRDefault="008A3A75" w:rsidP="000A19BC">
            <w:pPr>
              <w:numPr>
                <w:ilvl w:val="0"/>
                <w:numId w:val="14"/>
              </w:numPr>
              <w:spacing w:after="60"/>
              <w:ind w:left="162" w:hanging="162"/>
              <w:rPr>
                <w:sz w:val="20"/>
              </w:rPr>
            </w:pPr>
            <w:r>
              <w:rPr>
                <w:sz w:val="20"/>
              </w:rPr>
              <w:t>Further coordinate with SDOs</w:t>
            </w:r>
          </w:p>
          <w:p w:rsidR="00292422" w:rsidRPr="00814443" w:rsidRDefault="00292422" w:rsidP="000A19BC">
            <w:pPr>
              <w:numPr>
                <w:ilvl w:val="0"/>
                <w:numId w:val="14"/>
              </w:numPr>
              <w:spacing w:after="60"/>
              <w:ind w:left="162" w:hanging="162"/>
              <w:rPr>
                <w:sz w:val="20"/>
              </w:rPr>
            </w:pPr>
            <w:r>
              <w:rPr>
                <w:sz w:val="20"/>
              </w:rPr>
              <w:t>Assess impact of UCore / NIEM harmonization on NIEM UML profile.</w:t>
            </w:r>
          </w:p>
        </w:tc>
      </w:tr>
    </w:tbl>
    <w:p w:rsidR="001F337C" w:rsidRDefault="003033A9" w:rsidP="001F337C">
      <w:pPr>
        <w:pStyle w:val="Heading1"/>
      </w:pPr>
      <w:r>
        <w:t>Standards Development and Interoperability</w:t>
      </w:r>
    </w:p>
    <w:p w:rsidR="00200944" w:rsidRDefault="00C11918">
      <w:r w:rsidRPr="00EE2022">
        <w:t xml:space="preserve">The use of standards implies adherence to the governance processes of the </w:t>
      </w:r>
      <w:r w:rsidR="00532CF6">
        <w:t>SDOs</w:t>
      </w:r>
      <w:r w:rsidR="006C3BBF">
        <w:t xml:space="preserve"> and</w:t>
      </w:r>
      <w:r w:rsidRPr="00D01E33">
        <w:t xml:space="preserve"> within </w:t>
      </w:r>
      <w:r>
        <w:t>communities of interest (COI)</w:t>
      </w:r>
      <w:r w:rsidRPr="00D01E33">
        <w:t xml:space="preserve"> </w:t>
      </w:r>
      <w:r w:rsidR="00F459FA">
        <w:t xml:space="preserve">which </w:t>
      </w:r>
      <w:r w:rsidRPr="00D01E33">
        <w:t xml:space="preserve">will yield the requirements, in the form of standards and profiles, design patterns, and support services, required to make information sharing </w:t>
      </w:r>
      <w:r w:rsidR="007F14DA">
        <w:t xml:space="preserve">and interoperability </w:t>
      </w:r>
      <w:r w:rsidRPr="00D01E33">
        <w:t xml:space="preserve">a reality.  </w:t>
      </w:r>
      <w:r w:rsidR="006C3BBF">
        <w:t>Properly promoting standards and systems will sustain innovation and foster competition.  Government must take a convening or active engagement role in SDOs.  I</w:t>
      </w:r>
      <w:r w:rsidR="00BE6C92">
        <w:t xml:space="preserve">SE partners must work together to identify technical and business requirements, the current and future standards needed to complete the interoperability stack, and to integrate these standards into a framework that will enhance information sharing.  </w:t>
      </w:r>
      <w:r w:rsidR="00B11E0E">
        <w:t xml:space="preserve">As technical products are developed, they need to support independent and interoperable use to meet a range of business needs.  </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814443" w:rsidRPr="001D08C5" w:rsidTr="00E354F2">
        <w:trPr>
          <w:jc w:val="center"/>
        </w:trPr>
        <w:tc>
          <w:tcPr>
            <w:tcW w:w="9914" w:type="dxa"/>
            <w:gridSpan w:val="2"/>
            <w:shd w:val="clear" w:color="auto" w:fill="632423"/>
          </w:tcPr>
          <w:p w:rsidR="00814443" w:rsidRPr="001D08C5" w:rsidRDefault="00814443" w:rsidP="00814443">
            <w:pPr>
              <w:spacing w:after="60"/>
              <w:rPr>
                <w:b/>
                <w:sz w:val="20"/>
                <w:szCs w:val="20"/>
              </w:rPr>
            </w:pPr>
            <w:r w:rsidRPr="001D08C5">
              <w:rPr>
                <w:b/>
                <w:sz w:val="20"/>
                <w:szCs w:val="20"/>
              </w:rPr>
              <w:t>Category Overview</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Business Value</w:t>
            </w:r>
          </w:p>
        </w:tc>
        <w:tc>
          <w:tcPr>
            <w:tcW w:w="7939" w:type="dxa"/>
            <w:shd w:val="clear" w:color="auto" w:fill="F2DBDB"/>
          </w:tcPr>
          <w:p w:rsidR="00814443" w:rsidRPr="001D08C5" w:rsidRDefault="00BE6C92" w:rsidP="00814443">
            <w:pPr>
              <w:numPr>
                <w:ilvl w:val="0"/>
                <w:numId w:val="14"/>
              </w:numPr>
              <w:spacing w:after="60"/>
              <w:ind w:left="162" w:hanging="162"/>
              <w:rPr>
                <w:sz w:val="20"/>
                <w:szCs w:val="20"/>
              </w:rPr>
            </w:pPr>
            <w:r>
              <w:rPr>
                <w:sz w:val="20"/>
                <w:szCs w:val="20"/>
              </w:rPr>
              <w:t>Acceleration of information sharing through the use of interoperable standards and solutions</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Relevancy to other recommendations</w:t>
            </w:r>
          </w:p>
        </w:tc>
        <w:tc>
          <w:tcPr>
            <w:tcW w:w="7939" w:type="dxa"/>
            <w:shd w:val="clear" w:color="auto" w:fill="F2DBDB"/>
          </w:tcPr>
          <w:p w:rsidR="00814443" w:rsidRDefault="00814443" w:rsidP="000A19BC">
            <w:pPr>
              <w:numPr>
                <w:ilvl w:val="0"/>
                <w:numId w:val="14"/>
              </w:numPr>
              <w:spacing w:after="60"/>
              <w:ind w:left="162" w:hanging="162"/>
              <w:rPr>
                <w:bCs/>
                <w:sz w:val="20"/>
              </w:rPr>
            </w:pPr>
            <w:r>
              <w:rPr>
                <w:bCs/>
                <w:sz w:val="20"/>
              </w:rPr>
              <w:t>Coordination of interoperability standards and initiatives should be done in alignment with the broader objectives of the SCC</w:t>
            </w:r>
          </w:p>
        </w:tc>
      </w:tr>
    </w:tbl>
    <w:p w:rsidR="00814443" w:rsidRDefault="00814443" w:rsidP="00814443"/>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814443" w:rsidRPr="001D08C5" w:rsidTr="00C65E41">
        <w:trPr>
          <w:tblHeader/>
          <w:jc w:val="center"/>
        </w:trPr>
        <w:tc>
          <w:tcPr>
            <w:tcW w:w="9576" w:type="dxa"/>
            <w:gridSpan w:val="4"/>
            <w:shd w:val="clear" w:color="auto" w:fill="632423"/>
          </w:tcPr>
          <w:p w:rsidR="00814443" w:rsidRPr="001D08C5" w:rsidRDefault="00814443" w:rsidP="00814443">
            <w:pPr>
              <w:spacing w:after="60"/>
              <w:rPr>
                <w:b/>
                <w:sz w:val="20"/>
                <w:szCs w:val="20"/>
              </w:rPr>
            </w:pPr>
            <w:r>
              <w:rPr>
                <w:b/>
                <w:sz w:val="20"/>
                <w:szCs w:val="20"/>
              </w:rPr>
              <w:t>Action Item Overview</w:t>
            </w:r>
          </w:p>
        </w:tc>
      </w:tr>
      <w:tr w:rsidR="00814443" w:rsidRPr="001D08C5" w:rsidTr="00C65E41">
        <w:trPr>
          <w:trHeight w:val="610"/>
          <w:tblHeader/>
          <w:jc w:val="center"/>
        </w:trPr>
        <w:tc>
          <w:tcPr>
            <w:tcW w:w="3185" w:type="dxa"/>
            <w:gridSpan w:val="2"/>
            <w:shd w:val="clear" w:color="auto" w:fill="632423"/>
            <w:vAlign w:val="center"/>
          </w:tcPr>
          <w:p w:rsidR="00814443" w:rsidRPr="001D08C5" w:rsidRDefault="00814443" w:rsidP="00814443">
            <w:pPr>
              <w:spacing w:after="60"/>
              <w:jc w:val="center"/>
              <w:rPr>
                <w:b/>
                <w:sz w:val="20"/>
                <w:szCs w:val="20"/>
              </w:rPr>
            </w:pPr>
            <w:r w:rsidRPr="001D08C5">
              <w:rPr>
                <w:b/>
                <w:sz w:val="20"/>
                <w:szCs w:val="20"/>
              </w:rPr>
              <w:t>Action</w:t>
            </w:r>
          </w:p>
        </w:tc>
        <w:tc>
          <w:tcPr>
            <w:tcW w:w="1333" w:type="dxa"/>
            <w:shd w:val="clear" w:color="auto" w:fill="632423"/>
            <w:vAlign w:val="center"/>
          </w:tcPr>
          <w:p w:rsidR="00814443" w:rsidRPr="001D08C5" w:rsidRDefault="00876D58" w:rsidP="00814443">
            <w:pPr>
              <w:spacing w:after="60"/>
              <w:jc w:val="center"/>
              <w:rPr>
                <w:b/>
                <w:sz w:val="20"/>
                <w:szCs w:val="20"/>
              </w:rPr>
            </w:pPr>
            <w:r>
              <w:rPr>
                <w:b/>
                <w:sz w:val="20"/>
                <w:szCs w:val="20"/>
              </w:rPr>
              <w:t xml:space="preserve">SCC </w:t>
            </w:r>
            <w:r w:rsidR="00814443" w:rsidRPr="001D08C5">
              <w:rPr>
                <w:b/>
                <w:sz w:val="20"/>
                <w:szCs w:val="20"/>
              </w:rPr>
              <w:t>Lead Organization</w:t>
            </w:r>
          </w:p>
        </w:tc>
        <w:tc>
          <w:tcPr>
            <w:tcW w:w="5058" w:type="dxa"/>
            <w:shd w:val="clear" w:color="auto" w:fill="632423"/>
            <w:vAlign w:val="center"/>
          </w:tcPr>
          <w:p w:rsidR="00814443" w:rsidRPr="001D08C5" w:rsidRDefault="00814443" w:rsidP="00814443">
            <w:pPr>
              <w:spacing w:after="60"/>
              <w:jc w:val="center"/>
              <w:rPr>
                <w:b/>
                <w:sz w:val="20"/>
                <w:szCs w:val="20"/>
              </w:rPr>
            </w:pPr>
            <w:r w:rsidRPr="001D08C5">
              <w:rPr>
                <w:b/>
                <w:sz w:val="20"/>
                <w:szCs w:val="20"/>
              </w:rPr>
              <w:t>Description</w:t>
            </w:r>
          </w:p>
        </w:tc>
      </w:tr>
      <w:tr w:rsidR="008A3A75" w:rsidRPr="001D08C5" w:rsidTr="00C65E41">
        <w:trPr>
          <w:jc w:val="center"/>
        </w:trPr>
        <w:tc>
          <w:tcPr>
            <w:tcW w:w="1368" w:type="dxa"/>
            <w:vMerge w:val="restart"/>
            <w:shd w:val="clear" w:color="auto" w:fill="F2DBDB"/>
            <w:vAlign w:val="center"/>
          </w:tcPr>
          <w:p w:rsidR="008A3A75" w:rsidRPr="00F45EF0" w:rsidRDefault="008A3A75" w:rsidP="00E23E20">
            <w:pPr>
              <w:spacing w:after="60"/>
              <w:jc w:val="center"/>
              <w:rPr>
                <w:sz w:val="20"/>
                <w:szCs w:val="20"/>
              </w:rPr>
            </w:pPr>
            <w:r w:rsidRPr="00F45EF0">
              <w:rPr>
                <w:sz w:val="20"/>
                <w:szCs w:val="20"/>
              </w:rPr>
              <w:t>Short-term</w:t>
            </w:r>
          </w:p>
          <w:p w:rsidR="008A3A75" w:rsidRPr="00F45EF0" w:rsidRDefault="008A3A75" w:rsidP="00E23E20">
            <w:pPr>
              <w:spacing w:after="60"/>
              <w:jc w:val="center"/>
              <w:rPr>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8A3A75" w:rsidRPr="001D08C5" w:rsidRDefault="008A3A75" w:rsidP="007F14DA">
            <w:pPr>
              <w:spacing w:after="60"/>
              <w:rPr>
                <w:sz w:val="20"/>
                <w:szCs w:val="20"/>
              </w:rPr>
            </w:pPr>
            <w:r>
              <w:rPr>
                <w:sz w:val="20"/>
                <w:szCs w:val="20"/>
              </w:rPr>
              <w:t>Coordinate SOA Activities</w:t>
            </w:r>
          </w:p>
        </w:tc>
        <w:tc>
          <w:tcPr>
            <w:tcW w:w="1333" w:type="dxa"/>
            <w:shd w:val="clear" w:color="auto" w:fill="F2DBDB"/>
          </w:tcPr>
          <w:p w:rsidR="008A3A75" w:rsidRPr="001D08C5" w:rsidRDefault="008A3A75" w:rsidP="003033A9">
            <w:pPr>
              <w:spacing w:after="60"/>
              <w:rPr>
                <w:sz w:val="20"/>
                <w:szCs w:val="20"/>
              </w:rPr>
            </w:pPr>
            <w:r>
              <w:rPr>
                <w:sz w:val="20"/>
                <w:szCs w:val="20"/>
              </w:rPr>
              <w:t>IJIS</w:t>
            </w:r>
          </w:p>
        </w:tc>
        <w:tc>
          <w:tcPr>
            <w:tcW w:w="5058" w:type="dxa"/>
            <w:shd w:val="clear" w:color="auto" w:fill="F2DBDB"/>
          </w:tcPr>
          <w:p w:rsidR="008A3A75" w:rsidRDefault="008A3A75" w:rsidP="000A19BC">
            <w:pPr>
              <w:numPr>
                <w:ilvl w:val="0"/>
                <w:numId w:val="14"/>
              </w:numPr>
              <w:spacing w:after="60"/>
              <w:ind w:left="162" w:hanging="162"/>
              <w:rPr>
                <w:bCs/>
                <w:sz w:val="20"/>
              </w:rPr>
            </w:pPr>
            <w:r>
              <w:rPr>
                <w:bCs/>
                <w:sz w:val="20"/>
              </w:rPr>
              <w:t>Bring together representatives of current service oriented architecture (SOA) Frameworks including Department of Homeland Security (DHS), Department of Defense (DoD)</w:t>
            </w:r>
            <w:r w:rsidR="00683F2F">
              <w:rPr>
                <w:bCs/>
                <w:sz w:val="20"/>
              </w:rPr>
              <w:t xml:space="preserve"> Defense Common Ground Systems (DCGS)</w:t>
            </w:r>
            <w:r>
              <w:rPr>
                <w:bCs/>
                <w:sz w:val="20"/>
              </w:rPr>
              <w:t>, Intelligence Community (IC), and Department of Justice (DOJ)</w:t>
            </w:r>
            <w:r w:rsidR="00683F2F">
              <w:rPr>
                <w:bCs/>
                <w:sz w:val="20"/>
              </w:rPr>
              <w:t xml:space="preserve"> Global Reference Architecture (GRA)</w:t>
            </w:r>
            <w:r>
              <w:rPr>
                <w:bCs/>
                <w:sz w:val="20"/>
              </w:rPr>
              <w:t xml:space="preserve"> to evaluate opportunities for demonstration implementations</w:t>
            </w:r>
          </w:p>
          <w:p w:rsidR="008A3A75" w:rsidRDefault="008A3A75" w:rsidP="000A19BC">
            <w:pPr>
              <w:numPr>
                <w:ilvl w:val="1"/>
                <w:numId w:val="19"/>
              </w:numPr>
              <w:spacing w:after="60"/>
              <w:ind w:left="968" w:hanging="248"/>
              <w:rPr>
                <w:bCs/>
                <w:sz w:val="20"/>
              </w:rPr>
            </w:pPr>
            <w:r>
              <w:rPr>
                <w:bCs/>
                <w:sz w:val="20"/>
              </w:rPr>
              <w:t>Launch demonstrations as part of the broader set of interoperability pilots</w:t>
            </w:r>
            <w:r w:rsidR="00780E48">
              <w:rPr>
                <w:bCs/>
                <w:sz w:val="20"/>
              </w:rPr>
              <w:t xml:space="preserve"> (Long-term goal)</w:t>
            </w:r>
          </w:p>
        </w:tc>
      </w:tr>
      <w:tr w:rsidR="008A3A75" w:rsidRPr="001D08C5" w:rsidTr="00C65E41">
        <w:trPr>
          <w:jc w:val="center"/>
        </w:trPr>
        <w:tc>
          <w:tcPr>
            <w:tcW w:w="1368" w:type="dxa"/>
            <w:vMerge/>
            <w:shd w:val="clear" w:color="auto" w:fill="F2DBDB"/>
            <w:vAlign w:val="center"/>
          </w:tcPr>
          <w:p w:rsidR="008A3A75" w:rsidRPr="00F45EF0" w:rsidRDefault="008A3A75" w:rsidP="00814443">
            <w:pPr>
              <w:spacing w:after="60"/>
              <w:jc w:val="center"/>
              <w:rPr>
                <w:i/>
                <w:sz w:val="20"/>
                <w:szCs w:val="20"/>
              </w:rPr>
            </w:pPr>
          </w:p>
        </w:tc>
        <w:tc>
          <w:tcPr>
            <w:tcW w:w="1817" w:type="dxa"/>
            <w:shd w:val="clear" w:color="auto" w:fill="F2DBDB"/>
          </w:tcPr>
          <w:p w:rsidR="008A3A75" w:rsidRPr="001D08C5" w:rsidRDefault="008A3A75" w:rsidP="00E23E20">
            <w:pPr>
              <w:spacing w:after="60"/>
              <w:rPr>
                <w:sz w:val="20"/>
                <w:szCs w:val="20"/>
              </w:rPr>
            </w:pPr>
            <w:r>
              <w:rPr>
                <w:sz w:val="20"/>
                <w:szCs w:val="20"/>
              </w:rPr>
              <w:t>Reference IEPD development</w:t>
            </w:r>
          </w:p>
        </w:tc>
        <w:tc>
          <w:tcPr>
            <w:tcW w:w="1333" w:type="dxa"/>
            <w:shd w:val="clear" w:color="auto" w:fill="F2DBDB"/>
          </w:tcPr>
          <w:p w:rsidR="008A3A75" w:rsidRPr="001D08C5" w:rsidRDefault="008A3A75" w:rsidP="00693E80">
            <w:pPr>
              <w:spacing w:after="60"/>
              <w:rPr>
                <w:sz w:val="20"/>
                <w:szCs w:val="20"/>
              </w:rPr>
            </w:pPr>
            <w:r>
              <w:rPr>
                <w:sz w:val="20"/>
                <w:szCs w:val="20"/>
              </w:rPr>
              <w:t xml:space="preserve">IJIS, GSC </w:t>
            </w:r>
          </w:p>
        </w:tc>
        <w:tc>
          <w:tcPr>
            <w:tcW w:w="5058" w:type="dxa"/>
            <w:shd w:val="clear" w:color="auto" w:fill="F2DBDB"/>
          </w:tcPr>
          <w:p w:rsidR="008A3A75" w:rsidRDefault="008A3A75" w:rsidP="000A19BC">
            <w:pPr>
              <w:numPr>
                <w:ilvl w:val="0"/>
                <w:numId w:val="14"/>
              </w:numPr>
              <w:spacing w:after="60"/>
              <w:ind w:left="162" w:hanging="162"/>
              <w:rPr>
                <w:bCs/>
                <w:sz w:val="20"/>
              </w:rPr>
            </w:pPr>
            <w:r>
              <w:rPr>
                <w:bCs/>
                <w:sz w:val="20"/>
              </w:rPr>
              <w:t>Finalize current list of reference information exchange package documentation (IEPD) identified by GSC and via the Public Safety Business Model</w:t>
            </w:r>
          </w:p>
          <w:p w:rsidR="008A3A75" w:rsidRDefault="008A3A75" w:rsidP="00E23E20">
            <w:pPr>
              <w:numPr>
                <w:ilvl w:val="1"/>
                <w:numId w:val="19"/>
              </w:numPr>
              <w:spacing w:after="60"/>
              <w:ind w:left="968" w:hanging="248"/>
              <w:rPr>
                <w:bCs/>
                <w:sz w:val="20"/>
              </w:rPr>
            </w:pPr>
            <w:r>
              <w:rPr>
                <w:bCs/>
                <w:sz w:val="20"/>
              </w:rPr>
              <w:t>Leverage project candidates awarded “Best of NIEM”</w:t>
            </w:r>
          </w:p>
          <w:p w:rsidR="008A3A75" w:rsidRDefault="008A3A75" w:rsidP="00E23E20">
            <w:pPr>
              <w:numPr>
                <w:ilvl w:val="1"/>
                <w:numId w:val="19"/>
              </w:numPr>
              <w:spacing w:after="60"/>
              <w:ind w:left="968" w:hanging="248"/>
              <w:rPr>
                <w:bCs/>
                <w:sz w:val="20"/>
              </w:rPr>
            </w:pPr>
            <w:r>
              <w:rPr>
                <w:bCs/>
                <w:sz w:val="20"/>
              </w:rPr>
              <w:t>Review current standards in existing repositories</w:t>
            </w:r>
          </w:p>
          <w:p w:rsidR="008A3A75" w:rsidRDefault="008A3A75" w:rsidP="00E23E20">
            <w:pPr>
              <w:numPr>
                <w:ilvl w:val="1"/>
                <w:numId w:val="19"/>
              </w:numPr>
              <w:spacing w:after="60"/>
              <w:ind w:left="968" w:hanging="248"/>
              <w:rPr>
                <w:bCs/>
                <w:sz w:val="20"/>
              </w:rPr>
            </w:pPr>
            <w:r>
              <w:rPr>
                <w:bCs/>
                <w:sz w:val="20"/>
              </w:rPr>
              <w:t>Other high priority exchanges may include:  Emergency Management Patient Record, Suspicious Activity Reporting (SAR), Rap Sheet, Request for Information (RFI), Fingerprint Specification</w:t>
            </w:r>
            <w:r w:rsidR="00E354F2">
              <w:rPr>
                <w:bCs/>
                <w:sz w:val="20"/>
              </w:rPr>
              <w:t>, and other Biometric Standards.</w:t>
            </w:r>
          </w:p>
          <w:p w:rsidR="006C62FE" w:rsidRDefault="006C62FE" w:rsidP="000A19BC">
            <w:pPr>
              <w:numPr>
                <w:ilvl w:val="0"/>
                <w:numId w:val="14"/>
              </w:numPr>
              <w:spacing w:after="60"/>
              <w:ind w:left="162" w:hanging="162"/>
              <w:rPr>
                <w:bCs/>
                <w:sz w:val="20"/>
              </w:rPr>
            </w:pPr>
            <w:r>
              <w:rPr>
                <w:bCs/>
                <w:sz w:val="20"/>
              </w:rPr>
              <w:t>Build out service specification packages</w:t>
            </w:r>
            <w:r w:rsidR="002815A9">
              <w:rPr>
                <w:bCs/>
                <w:sz w:val="20"/>
              </w:rPr>
              <w:t xml:space="preserve"> for reference IEPDs and identify reusable business objects</w:t>
            </w:r>
          </w:p>
          <w:p w:rsidR="008A3A75" w:rsidRDefault="008A3A75" w:rsidP="000A19BC">
            <w:pPr>
              <w:numPr>
                <w:ilvl w:val="0"/>
                <w:numId w:val="14"/>
              </w:numPr>
              <w:spacing w:after="60"/>
              <w:ind w:left="162" w:hanging="162"/>
              <w:rPr>
                <w:bCs/>
                <w:sz w:val="20"/>
              </w:rPr>
            </w:pPr>
            <w:r>
              <w:rPr>
                <w:bCs/>
                <w:sz w:val="20"/>
              </w:rPr>
              <w:t>Evaluate based on maturity against ISE capabilities and partner mission requirements</w:t>
            </w:r>
          </w:p>
        </w:tc>
      </w:tr>
      <w:tr w:rsidR="008A3A75" w:rsidRPr="001D08C5" w:rsidTr="00C65E41">
        <w:trPr>
          <w:jc w:val="center"/>
        </w:trPr>
        <w:tc>
          <w:tcPr>
            <w:tcW w:w="1368" w:type="dxa"/>
            <w:vMerge w:val="restart"/>
            <w:shd w:val="clear" w:color="auto" w:fill="F2DBDB"/>
            <w:vAlign w:val="center"/>
          </w:tcPr>
          <w:p w:rsidR="008A3A75" w:rsidRPr="00F45EF0" w:rsidRDefault="008A3A75" w:rsidP="00814443">
            <w:pPr>
              <w:spacing w:after="60"/>
              <w:jc w:val="center"/>
              <w:rPr>
                <w:sz w:val="20"/>
                <w:szCs w:val="20"/>
              </w:rPr>
            </w:pPr>
            <w:r>
              <w:rPr>
                <w:sz w:val="20"/>
                <w:szCs w:val="20"/>
              </w:rPr>
              <w:t>Long</w:t>
            </w:r>
            <w:r w:rsidRPr="00F45EF0">
              <w:rPr>
                <w:sz w:val="20"/>
                <w:szCs w:val="20"/>
              </w:rPr>
              <w:t>-term</w:t>
            </w:r>
          </w:p>
          <w:p w:rsidR="008A3A75" w:rsidRDefault="008A3A75" w:rsidP="00814443">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8A3A75" w:rsidRDefault="008A3A75" w:rsidP="00814443">
            <w:pPr>
              <w:spacing w:after="60"/>
              <w:rPr>
                <w:sz w:val="20"/>
                <w:szCs w:val="20"/>
              </w:rPr>
            </w:pPr>
            <w:r>
              <w:rPr>
                <w:sz w:val="20"/>
                <w:szCs w:val="20"/>
              </w:rPr>
              <w:t>Align the UML Profile for DoDAF and MODAF (UPDM) and Model for Performance-driven Government (MPG) models</w:t>
            </w:r>
          </w:p>
        </w:tc>
        <w:tc>
          <w:tcPr>
            <w:tcW w:w="1333" w:type="dxa"/>
            <w:shd w:val="clear" w:color="auto" w:fill="F2DBDB"/>
          </w:tcPr>
          <w:p w:rsidR="008A3A75" w:rsidRDefault="008A3A75" w:rsidP="00E354F2">
            <w:pPr>
              <w:spacing w:after="60"/>
              <w:rPr>
                <w:sz w:val="20"/>
                <w:szCs w:val="20"/>
              </w:rPr>
            </w:pPr>
            <w:r>
              <w:rPr>
                <w:sz w:val="20"/>
                <w:szCs w:val="20"/>
              </w:rPr>
              <w:t>OMG</w:t>
            </w:r>
            <w:r w:rsidR="00E354F2">
              <w:rPr>
                <w:sz w:val="20"/>
                <w:szCs w:val="20"/>
              </w:rPr>
              <w:t xml:space="preserve">, </w:t>
            </w:r>
            <w:r>
              <w:rPr>
                <w:sz w:val="20"/>
                <w:szCs w:val="20"/>
              </w:rPr>
              <w:t xml:space="preserve"> PM-ISE</w:t>
            </w:r>
            <w:r w:rsidR="00E354F2">
              <w:rPr>
                <w:sz w:val="20"/>
                <w:szCs w:val="20"/>
              </w:rPr>
              <w:t>, and ACT-IAC</w:t>
            </w:r>
          </w:p>
        </w:tc>
        <w:tc>
          <w:tcPr>
            <w:tcW w:w="5058" w:type="dxa"/>
            <w:shd w:val="clear" w:color="auto" w:fill="F2DBDB"/>
          </w:tcPr>
          <w:p w:rsidR="008A3A75" w:rsidRDefault="008A3A75" w:rsidP="000A19BC">
            <w:pPr>
              <w:numPr>
                <w:ilvl w:val="0"/>
                <w:numId w:val="14"/>
              </w:numPr>
              <w:spacing w:after="60"/>
              <w:ind w:left="162" w:hanging="162"/>
              <w:rPr>
                <w:bCs/>
                <w:sz w:val="20"/>
              </w:rPr>
            </w:pPr>
            <w:r>
              <w:rPr>
                <w:bCs/>
                <w:sz w:val="20"/>
              </w:rPr>
              <w:t>Complete a more detailed</w:t>
            </w:r>
            <w:r w:rsidRPr="00E567C8">
              <w:rPr>
                <w:bCs/>
                <w:sz w:val="20"/>
              </w:rPr>
              <w:t xml:space="preserve"> analysis </w:t>
            </w:r>
            <w:r>
              <w:rPr>
                <w:bCs/>
                <w:sz w:val="20"/>
              </w:rPr>
              <w:t xml:space="preserve">of these models </w:t>
            </w:r>
            <w:r w:rsidRPr="00E567C8">
              <w:rPr>
                <w:bCs/>
                <w:sz w:val="20"/>
              </w:rPr>
              <w:t xml:space="preserve">to determine areas of integration </w:t>
            </w:r>
            <w:r>
              <w:rPr>
                <w:bCs/>
                <w:sz w:val="20"/>
              </w:rPr>
              <w:t xml:space="preserve">and </w:t>
            </w:r>
            <w:r w:rsidRPr="00E567C8">
              <w:rPr>
                <w:bCs/>
                <w:sz w:val="20"/>
              </w:rPr>
              <w:t>define scenarios and use</w:t>
            </w:r>
            <w:r>
              <w:rPr>
                <w:bCs/>
                <w:sz w:val="20"/>
              </w:rPr>
              <w:t xml:space="preserve"> </w:t>
            </w:r>
            <w:r w:rsidRPr="00E567C8">
              <w:rPr>
                <w:bCs/>
                <w:sz w:val="20"/>
              </w:rPr>
              <w:t>cases where applicable</w:t>
            </w:r>
          </w:p>
        </w:tc>
      </w:tr>
      <w:tr w:rsidR="008A3A75" w:rsidRPr="001D08C5" w:rsidTr="00C65E41">
        <w:trPr>
          <w:jc w:val="center"/>
        </w:trPr>
        <w:tc>
          <w:tcPr>
            <w:tcW w:w="1368" w:type="dxa"/>
            <w:vMerge/>
            <w:shd w:val="clear" w:color="auto" w:fill="F2DBDB"/>
            <w:vAlign w:val="center"/>
          </w:tcPr>
          <w:p w:rsidR="008A3A75" w:rsidRPr="00F45EF0" w:rsidRDefault="008A3A75" w:rsidP="00814443">
            <w:pPr>
              <w:spacing w:after="60"/>
              <w:jc w:val="center"/>
              <w:rPr>
                <w:sz w:val="20"/>
                <w:szCs w:val="20"/>
              </w:rPr>
            </w:pPr>
          </w:p>
        </w:tc>
        <w:tc>
          <w:tcPr>
            <w:tcW w:w="1817" w:type="dxa"/>
            <w:shd w:val="clear" w:color="auto" w:fill="F2DBDB"/>
          </w:tcPr>
          <w:p w:rsidR="008A3A75" w:rsidRPr="001D08C5" w:rsidRDefault="008A3A75" w:rsidP="00814443">
            <w:pPr>
              <w:spacing w:after="60"/>
              <w:rPr>
                <w:sz w:val="20"/>
                <w:szCs w:val="20"/>
              </w:rPr>
            </w:pPr>
            <w:r>
              <w:rPr>
                <w:sz w:val="20"/>
                <w:szCs w:val="20"/>
              </w:rPr>
              <w:t>Conduct Interoperability Pilots</w:t>
            </w:r>
          </w:p>
        </w:tc>
        <w:tc>
          <w:tcPr>
            <w:tcW w:w="1333" w:type="dxa"/>
            <w:shd w:val="clear" w:color="auto" w:fill="F2DBDB"/>
          </w:tcPr>
          <w:p w:rsidR="008A3A75" w:rsidRPr="001D08C5" w:rsidRDefault="008A3A75" w:rsidP="00814443">
            <w:pPr>
              <w:spacing w:after="60"/>
              <w:rPr>
                <w:sz w:val="20"/>
                <w:szCs w:val="20"/>
              </w:rPr>
            </w:pPr>
            <w:r>
              <w:rPr>
                <w:sz w:val="20"/>
                <w:szCs w:val="20"/>
              </w:rPr>
              <w:t>IJIS, OMG and PM-ISE</w:t>
            </w:r>
          </w:p>
        </w:tc>
        <w:tc>
          <w:tcPr>
            <w:tcW w:w="5058" w:type="dxa"/>
            <w:shd w:val="clear" w:color="auto" w:fill="F2DBDB"/>
          </w:tcPr>
          <w:p w:rsidR="008A3A75" w:rsidRDefault="008A3A75" w:rsidP="000A19BC">
            <w:pPr>
              <w:numPr>
                <w:ilvl w:val="0"/>
                <w:numId w:val="14"/>
              </w:numPr>
              <w:spacing w:after="60"/>
              <w:ind w:left="162" w:hanging="162"/>
              <w:rPr>
                <w:bCs/>
                <w:sz w:val="20"/>
              </w:rPr>
            </w:pPr>
            <w:r>
              <w:rPr>
                <w:bCs/>
                <w:sz w:val="20"/>
              </w:rPr>
              <w:t>Work with IJIS and other partners to agree to interoperability framework project definition</w:t>
            </w:r>
          </w:p>
          <w:p w:rsidR="008A3A75" w:rsidRDefault="008A3A75" w:rsidP="000A19BC">
            <w:pPr>
              <w:numPr>
                <w:ilvl w:val="1"/>
                <w:numId w:val="19"/>
              </w:numPr>
              <w:spacing w:after="60"/>
              <w:ind w:left="968" w:hanging="248"/>
              <w:rPr>
                <w:bCs/>
                <w:sz w:val="20"/>
              </w:rPr>
            </w:pPr>
            <w:r>
              <w:rPr>
                <w:bCs/>
                <w:sz w:val="20"/>
              </w:rPr>
              <w:t xml:space="preserve">Clearly outline capabilities to be tested against desired timeline; develop use cases </w:t>
            </w:r>
          </w:p>
          <w:p w:rsidR="008A3A75" w:rsidRDefault="008A3A75" w:rsidP="000A19BC">
            <w:pPr>
              <w:numPr>
                <w:ilvl w:val="1"/>
                <w:numId w:val="19"/>
              </w:numPr>
              <w:spacing w:after="60"/>
              <w:ind w:left="968" w:hanging="248"/>
              <w:rPr>
                <w:bCs/>
                <w:sz w:val="20"/>
              </w:rPr>
            </w:pPr>
            <w:r>
              <w:rPr>
                <w:bCs/>
                <w:sz w:val="20"/>
              </w:rPr>
              <w:t>Identity potential projects based on level of maturity and relevancy to capabilities</w:t>
            </w:r>
          </w:p>
          <w:p w:rsidR="008A3A75" w:rsidRDefault="008A3A75" w:rsidP="000A19BC">
            <w:pPr>
              <w:numPr>
                <w:ilvl w:val="1"/>
                <w:numId w:val="19"/>
              </w:numPr>
              <w:spacing w:after="60"/>
              <w:ind w:left="968" w:hanging="248"/>
              <w:rPr>
                <w:bCs/>
                <w:sz w:val="20"/>
              </w:rPr>
            </w:pPr>
            <w:r>
              <w:rPr>
                <w:bCs/>
                <w:sz w:val="20"/>
              </w:rPr>
              <w:t>Gain commitment from government and industry partners</w:t>
            </w:r>
          </w:p>
          <w:p w:rsidR="008A3A75" w:rsidRPr="00814443" w:rsidRDefault="008A3A75" w:rsidP="000A19BC">
            <w:pPr>
              <w:numPr>
                <w:ilvl w:val="0"/>
                <w:numId w:val="14"/>
              </w:numPr>
              <w:spacing w:after="60"/>
              <w:ind w:left="162" w:hanging="162"/>
              <w:rPr>
                <w:sz w:val="20"/>
              </w:rPr>
            </w:pPr>
            <w:r>
              <w:rPr>
                <w:bCs/>
                <w:sz w:val="20"/>
              </w:rPr>
              <w:t>Initiate pilots and report on results</w:t>
            </w:r>
          </w:p>
        </w:tc>
      </w:tr>
      <w:tr w:rsidR="008A3A75" w:rsidRPr="001D08C5" w:rsidTr="00C65E41">
        <w:trPr>
          <w:jc w:val="center"/>
        </w:trPr>
        <w:tc>
          <w:tcPr>
            <w:tcW w:w="1368" w:type="dxa"/>
            <w:vMerge/>
            <w:shd w:val="clear" w:color="auto" w:fill="F2DBDB"/>
            <w:vAlign w:val="center"/>
          </w:tcPr>
          <w:p w:rsidR="008A3A75" w:rsidRDefault="008A3A75" w:rsidP="00814443">
            <w:pPr>
              <w:spacing w:after="60"/>
              <w:jc w:val="center"/>
              <w:rPr>
                <w:sz w:val="20"/>
                <w:szCs w:val="20"/>
              </w:rPr>
            </w:pPr>
          </w:p>
        </w:tc>
        <w:tc>
          <w:tcPr>
            <w:tcW w:w="1817" w:type="dxa"/>
            <w:shd w:val="clear" w:color="auto" w:fill="F2DBDB"/>
          </w:tcPr>
          <w:p w:rsidR="008A3A75" w:rsidRDefault="008A3A75" w:rsidP="00814443">
            <w:pPr>
              <w:spacing w:after="60"/>
              <w:rPr>
                <w:sz w:val="20"/>
                <w:szCs w:val="20"/>
              </w:rPr>
            </w:pPr>
            <w:r>
              <w:rPr>
                <w:sz w:val="20"/>
                <w:szCs w:val="20"/>
              </w:rPr>
              <w:t>Enable Access to NIEM via  Semantic Technology Utilities</w:t>
            </w:r>
          </w:p>
        </w:tc>
        <w:tc>
          <w:tcPr>
            <w:tcW w:w="1333" w:type="dxa"/>
            <w:shd w:val="clear" w:color="auto" w:fill="F2DBDB"/>
          </w:tcPr>
          <w:p w:rsidR="008A3A75" w:rsidRDefault="008A3A75" w:rsidP="005238E1">
            <w:pPr>
              <w:spacing w:after="60"/>
              <w:rPr>
                <w:sz w:val="20"/>
                <w:szCs w:val="20"/>
              </w:rPr>
            </w:pPr>
            <w:r>
              <w:rPr>
                <w:sz w:val="20"/>
                <w:szCs w:val="20"/>
              </w:rPr>
              <w:t xml:space="preserve">DoD, HHS and NIEM PMO </w:t>
            </w:r>
          </w:p>
        </w:tc>
        <w:tc>
          <w:tcPr>
            <w:tcW w:w="5058" w:type="dxa"/>
            <w:shd w:val="clear" w:color="auto" w:fill="F2DBDB"/>
          </w:tcPr>
          <w:p w:rsidR="00693E80" w:rsidRDefault="00693E80" w:rsidP="000A19BC">
            <w:pPr>
              <w:numPr>
                <w:ilvl w:val="0"/>
                <w:numId w:val="14"/>
              </w:numPr>
              <w:spacing w:after="60"/>
              <w:ind w:left="162" w:hanging="162"/>
              <w:rPr>
                <w:bCs/>
                <w:sz w:val="20"/>
              </w:rPr>
            </w:pPr>
            <w:r>
              <w:rPr>
                <w:bCs/>
                <w:sz w:val="20"/>
              </w:rPr>
              <w:t>A</w:t>
            </w:r>
            <w:r w:rsidRPr="00693E80">
              <w:rPr>
                <w:bCs/>
                <w:sz w:val="20"/>
              </w:rPr>
              <w:t>lign key semantics between domains to support interoperability.</w:t>
            </w:r>
          </w:p>
          <w:p w:rsidR="008A3A75" w:rsidRDefault="008A3A75" w:rsidP="000A19BC">
            <w:pPr>
              <w:numPr>
                <w:ilvl w:val="0"/>
                <w:numId w:val="14"/>
              </w:numPr>
              <w:spacing w:after="60"/>
              <w:ind w:left="162" w:hanging="162"/>
              <w:rPr>
                <w:bCs/>
                <w:sz w:val="20"/>
              </w:rPr>
            </w:pPr>
            <w:r>
              <w:rPr>
                <w:bCs/>
                <w:sz w:val="20"/>
              </w:rPr>
              <w:t>Leverage OMG and W3C standards</w:t>
            </w:r>
          </w:p>
          <w:p w:rsidR="008A3A75" w:rsidRDefault="008A3A75" w:rsidP="000A19BC">
            <w:pPr>
              <w:numPr>
                <w:ilvl w:val="0"/>
                <w:numId w:val="14"/>
              </w:numPr>
              <w:spacing w:after="60"/>
              <w:ind w:left="162" w:hanging="162"/>
              <w:rPr>
                <w:bCs/>
                <w:sz w:val="20"/>
              </w:rPr>
            </w:pPr>
            <w:r>
              <w:rPr>
                <w:bCs/>
                <w:sz w:val="20"/>
              </w:rPr>
              <w:t xml:space="preserve">Leverage </w:t>
            </w:r>
            <w:r w:rsidR="00AE1B3F">
              <w:rPr>
                <w:bCs/>
                <w:sz w:val="20"/>
              </w:rPr>
              <w:t xml:space="preserve">lessons learned from </w:t>
            </w:r>
            <w:r>
              <w:rPr>
                <w:bCs/>
                <w:sz w:val="20"/>
              </w:rPr>
              <w:t xml:space="preserve">Virtual Electronic Health Records (VLER) </w:t>
            </w:r>
          </w:p>
          <w:p w:rsidR="008A3A75" w:rsidRDefault="008A3A75" w:rsidP="000A19BC">
            <w:pPr>
              <w:numPr>
                <w:ilvl w:val="0"/>
                <w:numId w:val="14"/>
              </w:numPr>
              <w:spacing w:after="60"/>
              <w:ind w:left="162" w:hanging="162"/>
              <w:rPr>
                <w:bCs/>
                <w:sz w:val="20"/>
              </w:rPr>
            </w:pPr>
            <w:r>
              <w:rPr>
                <w:bCs/>
                <w:sz w:val="20"/>
              </w:rPr>
              <w:t>Identify authoritative data sources</w:t>
            </w:r>
          </w:p>
          <w:p w:rsidR="008A3A75" w:rsidRDefault="008A3A75" w:rsidP="0084362A">
            <w:pPr>
              <w:numPr>
                <w:ilvl w:val="0"/>
                <w:numId w:val="14"/>
              </w:numPr>
              <w:spacing w:after="60"/>
              <w:ind w:left="162" w:hanging="162"/>
              <w:rPr>
                <w:bCs/>
                <w:sz w:val="20"/>
              </w:rPr>
            </w:pPr>
            <w:r>
              <w:rPr>
                <w:bCs/>
                <w:sz w:val="20"/>
              </w:rPr>
              <w:t>Define a mapping ontology from the authoritative data sources and referenced by NIEM to a corresponding ontology based upon World Wide Web (W3C) Resource Description Framework (RDF) and Web Ontology Language (OWL) standards</w:t>
            </w:r>
          </w:p>
        </w:tc>
      </w:tr>
    </w:tbl>
    <w:p w:rsidR="00814443" w:rsidRDefault="00814443" w:rsidP="008B5AE0">
      <w:pPr>
        <w:spacing w:after="120"/>
      </w:pPr>
    </w:p>
    <w:p w:rsidR="000072A4" w:rsidRDefault="00113902" w:rsidP="00113902">
      <w:pPr>
        <w:pStyle w:val="Heading1"/>
      </w:pPr>
      <w:r>
        <w:t xml:space="preserve">Identity </w:t>
      </w:r>
      <w:r w:rsidR="00E23E20">
        <w:t xml:space="preserve">and Access </w:t>
      </w:r>
      <w:r>
        <w:t>Management</w:t>
      </w:r>
    </w:p>
    <w:p w:rsidR="00113902" w:rsidRDefault="00E23E20" w:rsidP="00E23E20">
      <w:r>
        <w:t xml:space="preserve">Access to information must be controlled to ensure the right people are able to access the right information to complete their mission objectives. </w:t>
      </w:r>
      <w:r w:rsidR="007F14DA">
        <w:t xml:space="preserve">With the appropriate safeguards in place, it is easier to know who is accessing the data and what authorities they have, to prevent inappropriate access/release. </w:t>
      </w:r>
      <w:r w:rsidR="00B11E0E">
        <w:t xml:space="preserve">Specific consideration needs to </w:t>
      </w:r>
      <w:r w:rsidR="0084362A">
        <w:t>b</w:t>
      </w:r>
      <w:r w:rsidR="00B11E0E">
        <w:t>e given to secu</w:t>
      </w:r>
      <w:r w:rsidR="00F459FA">
        <w:t>rity, authentication and access,</w:t>
      </w:r>
      <w:r w:rsidR="00B11E0E">
        <w:t xml:space="preserve"> privacy protections and information quality.  </w:t>
      </w:r>
      <w:r>
        <w:t xml:space="preserve">Partners must work together to promote further development of identity management standards and solutions. </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814443" w:rsidRPr="001D08C5" w:rsidTr="00E354F2">
        <w:trPr>
          <w:jc w:val="center"/>
        </w:trPr>
        <w:tc>
          <w:tcPr>
            <w:tcW w:w="9914" w:type="dxa"/>
            <w:gridSpan w:val="2"/>
            <w:shd w:val="clear" w:color="auto" w:fill="632423"/>
          </w:tcPr>
          <w:p w:rsidR="00814443" w:rsidRPr="001D08C5" w:rsidRDefault="00814443" w:rsidP="00814443">
            <w:pPr>
              <w:spacing w:after="60"/>
              <w:rPr>
                <w:b/>
                <w:sz w:val="20"/>
                <w:szCs w:val="20"/>
              </w:rPr>
            </w:pPr>
            <w:r w:rsidRPr="001D08C5">
              <w:rPr>
                <w:b/>
                <w:sz w:val="20"/>
                <w:szCs w:val="20"/>
              </w:rPr>
              <w:t>Category Overview</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Business Value</w:t>
            </w:r>
          </w:p>
        </w:tc>
        <w:tc>
          <w:tcPr>
            <w:tcW w:w="7939" w:type="dxa"/>
            <w:shd w:val="clear" w:color="auto" w:fill="F2DBDB"/>
          </w:tcPr>
          <w:p w:rsidR="00814443" w:rsidRDefault="00BE6C92" w:rsidP="00814443">
            <w:pPr>
              <w:numPr>
                <w:ilvl w:val="0"/>
                <w:numId w:val="14"/>
              </w:numPr>
              <w:spacing w:after="60"/>
              <w:ind w:left="162" w:hanging="162"/>
              <w:rPr>
                <w:sz w:val="20"/>
                <w:szCs w:val="20"/>
              </w:rPr>
            </w:pPr>
            <w:r>
              <w:rPr>
                <w:sz w:val="20"/>
                <w:szCs w:val="20"/>
              </w:rPr>
              <w:t>Collective approach to developing identity access management standards and solutions</w:t>
            </w:r>
          </w:p>
          <w:p w:rsidR="00BE6C92" w:rsidRPr="001D08C5" w:rsidRDefault="00BE6C92" w:rsidP="00814443">
            <w:pPr>
              <w:numPr>
                <w:ilvl w:val="0"/>
                <w:numId w:val="14"/>
              </w:numPr>
              <w:spacing w:after="60"/>
              <w:ind w:left="162" w:hanging="162"/>
              <w:rPr>
                <w:sz w:val="20"/>
                <w:szCs w:val="20"/>
              </w:rPr>
            </w:pPr>
            <w:r>
              <w:rPr>
                <w:sz w:val="20"/>
                <w:szCs w:val="20"/>
              </w:rPr>
              <w:t>Common approach to the policies, guidance and standards to manage the risk associated with sharing and safeguarding information across all network domains</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Relevancy to other recommendations</w:t>
            </w:r>
          </w:p>
        </w:tc>
        <w:tc>
          <w:tcPr>
            <w:tcW w:w="7939" w:type="dxa"/>
            <w:shd w:val="clear" w:color="auto" w:fill="F2DBDB"/>
          </w:tcPr>
          <w:p w:rsidR="00814443" w:rsidRDefault="00BE6C92" w:rsidP="000A19BC">
            <w:pPr>
              <w:numPr>
                <w:ilvl w:val="0"/>
                <w:numId w:val="14"/>
              </w:numPr>
              <w:spacing w:after="60"/>
              <w:ind w:left="162" w:hanging="162"/>
              <w:rPr>
                <w:bCs/>
                <w:sz w:val="20"/>
              </w:rPr>
            </w:pPr>
            <w:r>
              <w:rPr>
                <w:bCs/>
                <w:sz w:val="20"/>
              </w:rPr>
              <w:t>Core recommendation is to align governance to allow broader representation for state, local, tribal and private sector participation; this activity should be closely coordinated with the SCC</w:t>
            </w:r>
          </w:p>
          <w:p w:rsidR="00BE6C92" w:rsidRDefault="00BE6C92" w:rsidP="000A19BC">
            <w:pPr>
              <w:numPr>
                <w:ilvl w:val="0"/>
                <w:numId w:val="14"/>
              </w:numPr>
              <w:spacing w:after="60"/>
              <w:ind w:left="162" w:hanging="162"/>
              <w:rPr>
                <w:bCs/>
                <w:sz w:val="20"/>
              </w:rPr>
            </w:pPr>
            <w:r>
              <w:rPr>
                <w:bCs/>
                <w:sz w:val="20"/>
              </w:rPr>
              <w:t>Identity and Access Management efforts are closely aligned with policy automation</w:t>
            </w:r>
          </w:p>
        </w:tc>
      </w:tr>
    </w:tbl>
    <w:p w:rsidR="00814443" w:rsidRDefault="00814443" w:rsidP="00814443"/>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814443" w:rsidRPr="001D08C5" w:rsidTr="00C65E41">
        <w:trPr>
          <w:tblHeader/>
          <w:jc w:val="center"/>
        </w:trPr>
        <w:tc>
          <w:tcPr>
            <w:tcW w:w="9576" w:type="dxa"/>
            <w:gridSpan w:val="4"/>
            <w:shd w:val="clear" w:color="auto" w:fill="632423"/>
          </w:tcPr>
          <w:p w:rsidR="00814443" w:rsidRPr="001D08C5" w:rsidRDefault="00814443" w:rsidP="00814443">
            <w:pPr>
              <w:spacing w:after="60"/>
              <w:rPr>
                <w:b/>
                <w:sz w:val="20"/>
                <w:szCs w:val="20"/>
              </w:rPr>
            </w:pPr>
            <w:r>
              <w:rPr>
                <w:b/>
                <w:sz w:val="20"/>
                <w:szCs w:val="20"/>
              </w:rPr>
              <w:t>Action Item Overview</w:t>
            </w:r>
          </w:p>
        </w:tc>
      </w:tr>
      <w:tr w:rsidR="00814443" w:rsidRPr="001D08C5" w:rsidTr="00C65E41">
        <w:trPr>
          <w:trHeight w:val="610"/>
          <w:tblHeader/>
          <w:jc w:val="center"/>
        </w:trPr>
        <w:tc>
          <w:tcPr>
            <w:tcW w:w="3185" w:type="dxa"/>
            <w:gridSpan w:val="2"/>
            <w:shd w:val="clear" w:color="auto" w:fill="632423"/>
            <w:vAlign w:val="center"/>
          </w:tcPr>
          <w:p w:rsidR="00814443" w:rsidRPr="001D08C5" w:rsidRDefault="00814443" w:rsidP="00814443">
            <w:pPr>
              <w:spacing w:after="60"/>
              <w:jc w:val="center"/>
              <w:rPr>
                <w:b/>
                <w:sz w:val="20"/>
                <w:szCs w:val="20"/>
              </w:rPr>
            </w:pPr>
            <w:r w:rsidRPr="001D08C5">
              <w:rPr>
                <w:b/>
                <w:sz w:val="20"/>
                <w:szCs w:val="20"/>
              </w:rPr>
              <w:t>Action</w:t>
            </w:r>
          </w:p>
        </w:tc>
        <w:tc>
          <w:tcPr>
            <w:tcW w:w="1333" w:type="dxa"/>
            <w:shd w:val="clear" w:color="auto" w:fill="632423"/>
            <w:vAlign w:val="center"/>
          </w:tcPr>
          <w:p w:rsidR="00814443" w:rsidRPr="001D08C5" w:rsidRDefault="00876D58" w:rsidP="00814443">
            <w:pPr>
              <w:spacing w:after="60"/>
              <w:jc w:val="center"/>
              <w:rPr>
                <w:b/>
                <w:sz w:val="20"/>
                <w:szCs w:val="20"/>
              </w:rPr>
            </w:pPr>
            <w:r>
              <w:rPr>
                <w:b/>
                <w:sz w:val="20"/>
                <w:szCs w:val="20"/>
              </w:rPr>
              <w:t xml:space="preserve">SCC </w:t>
            </w:r>
            <w:r w:rsidR="00814443" w:rsidRPr="001D08C5">
              <w:rPr>
                <w:b/>
                <w:sz w:val="20"/>
                <w:szCs w:val="20"/>
              </w:rPr>
              <w:t>Lead Organization</w:t>
            </w:r>
          </w:p>
        </w:tc>
        <w:tc>
          <w:tcPr>
            <w:tcW w:w="5058" w:type="dxa"/>
            <w:shd w:val="clear" w:color="auto" w:fill="632423"/>
            <w:vAlign w:val="center"/>
          </w:tcPr>
          <w:p w:rsidR="00814443" w:rsidRPr="001D08C5" w:rsidRDefault="00814443" w:rsidP="00814443">
            <w:pPr>
              <w:spacing w:after="60"/>
              <w:jc w:val="center"/>
              <w:rPr>
                <w:b/>
                <w:sz w:val="20"/>
                <w:szCs w:val="20"/>
              </w:rPr>
            </w:pPr>
            <w:r w:rsidRPr="001D08C5">
              <w:rPr>
                <w:b/>
                <w:sz w:val="20"/>
                <w:szCs w:val="20"/>
              </w:rPr>
              <w:t>Description</w:t>
            </w:r>
          </w:p>
        </w:tc>
      </w:tr>
      <w:tr w:rsidR="00E73723" w:rsidRPr="001D08C5" w:rsidTr="00C65E41">
        <w:trPr>
          <w:jc w:val="center"/>
        </w:trPr>
        <w:tc>
          <w:tcPr>
            <w:tcW w:w="1368" w:type="dxa"/>
            <w:vMerge w:val="restart"/>
            <w:shd w:val="clear" w:color="auto" w:fill="F2DBDB"/>
            <w:vAlign w:val="center"/>
          </w:tcPr>
          <w:p w:rsidR="00E73723" w:rsidRPr="00F45EF0" w:rsidRDefault="00E73723" w:rsidP="00814443">
            <w:pPr>
              <w:spacing w:after="60"/>
              <w:jc w:val="center"/>
              <w:rPr>
                <w:sz w:val="20"/>
                <w:szCs w:val="20"/>
              </w:rPr>
            </w:pPr>
            <w:r w:rsidRPr="00F45EF0">
              <w:rPr>
                <w:sz w:val="20"/>
                <w:szCs w:val="20"/>
              </w:rPr>
              <w:t>Short-term</w:t>
            </w:r>
          </w:p>
          <w:p w:rsidR="00E73723" w:rsidRPr="00F45EF0" w:rsidRDefault="00E73723" w:rsidP="00814443">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E73723" w:rsidRPr="001D08C5" w:rsidRDefault="00E73723" w:rsidP="00814443">
            <w:pPr>
              <w:spacing w:after="60"/>
              <w:rPr>
                <w:sz w:val="20"/>
                <w:szCs w:val="20"/>
              </w:rPr>
            </w:pPr>
            <w:r>
              <w:rPr>
                <w:sz w:val="20"/>
                <w:szCs w:val="20"/>
              </w:rPr>
              <w:t>Integrate Identity and Access Management Governance Structures</w:t>
            </w:r>
          </w:p>
        </w:tc>
        <w:tc>
          <w:tcPr>
            <w:tcW w:w="1333" w:type="dxa"/>
            <w:shd w:val="clear" w:color="auto" w:fill="F2DBDB"/>
          </w:tcPr>
          <w:p w:rsidR="00E73723" w:rsidRPr="001D08C5" w:rsidRDefault="00E73723" w:rsidP="00814443">
            <w:pPr>
              <w:spacing w:after="60"/>
              <w:rPr>
                <w:sz w:val="20"/>
                <w:szCs w:val="20"/>
              </w:rPr>
            </w:pPr>
            <w:r>
              <w:rPr>
                <w:sz w:val="20"/>
                <w:szCs w:val="20"/>
              </w:rPr>
              <w:t>PM-ISE and GSA</w:t>
            </w:r>
          </w:p>
        </w:tc>
        <w:tc>
          <w:tcPr>
            <w:tcW w:w="5058" w:type="dxa"/>
            <w:shd w:val="clear" w:color="auto" w:fill="F2DBDB"/>
          </w:tcPr>
          <w:p w:rsidR="00E73723" w:rsidRPr="00814443" w:rsidRDefault="00E73723" w:rsidP="000A19BC">
            <w:pPr>
              <w:numPr>
                <w:ilvl w:val="0"/>
                <w:numId w:val="14"/>
              </w:numPr>
              <w:spacing w:after="60"/>
              <w:ind w:left="162" w:hanging="162"/>
              <w:rPr>
                <w:bCs/>
                <w:sz w:val="20"/>
              </w:rPr>
            </w:pPr>
            <w:r w:rsidRPr="00113902">
              <w:rPr>
                <w:bCs/>
                <w:sz w:val="20"/>
              </w:rPr>
              <w:t xml:space="preserve">Work with </w:t>
            </w:r>
            <w:r>
              <w:rPr>
                <w:bCs/>
                <w:sz w:val="20"/>
              </w:rPr>
              <w:t xml:space="preserve">the Federal Chief Information Officer’s Council </w:t>
            </w:r>
            <w:r w:rsidRPr="00113902">
              <w:rPr>
                <w:bCs/>
                <w:sz w:val="20"/>
              </w:rPr>
              <w:t xml:space="preserve">and </w:t>
            </w:r>
            <w:r>
              <w:rPr>
                <w:bCs/>
                <w:sz w:val="20"/>
              </w:rPr>
              <w:t>Identity, Credentialing and Access Management Sub-committee (</w:t>
            </w:r>
            <w:r w:rsidRPr="00113902">
              <w:rPr>
                <w:bCs/>
                <w:sz w:val="20"/>
              </w:rPr>
              <w:t>ICAMSC</w:t>
            </w:r>
            <w:r>
              <w:rPr>
                <w:bCs/>
                <w:sz w:val="20"/>
              </w:rPr>
              <w:t>)</w:t>
            </w:r>
            <w:r w:rsidRPr="00113902">
              <w:rPr>
                <w:bCs/>
                <w:sz w:val="20"/>
              </w:rPr>
              <w:t xml:space="preserve"> to determine the best way to align </w:t>
            </w:r>
            <w:r>
              <w:rPr>
                <w:bCs/>
                <w:sz w:val="20"/>
              </w:rPr>
              <w:t>i</w:t>
            </w:r>
            <w:r w:rsidRPr="00113902">
              <w:rPr>
                <w:bCs/>
                <w:sz w:val="20"/>
              </w:rPr>
              <w:t xml:space="preserve">dentity </w:t>
            </w:r>
            <w:r>
              <w:rPr>
                <w:bCs/>
                <w:sz w:val="20"/>
              </w:rPr>
              <w:t xml:space="preserve">and access management </w:t>
            </w:r>
            <w:r w:rsidRPr="00113902">
              <w:rPr>
                <w:bCs/>
                <w:sz w:val="20"/>
              </w:rPr>
              <w:t>governance</w:t>
            </w:r>
          </w:p>
        </w:tc>
      </w:tr>
      <w:tr w:rsidR="00E73723" w:rsidRPr="001D08C5" w:rsidTr="00C65E41">
        <w:trPr>
          <w:jc w:val="center"/>
        </w:trPr>
        <w:tc>
          <w:tcPr>
            <w:tcW w:w="1368" w:type="dxa"/>
            <w:vMerge/>
            <w:shd w:val="clear" w:color="auto" w:fill="F2DBDB"/>
            <w:vAlign w:val="center"/>
          </w:tcPr>
          <w:p w:rsidR="00E73723" w:rsidRDefault="00E73723" w:rsidP="00814443">
            <w:pPr>
              <w:spacing w:after="60"/>
              <w:jc w:val="center"/>
              <w:rPr>
                <w:sz w:val="20"/>
                <w:szCs w:val="20"/>
              </w:rPr>
            </w:pPr>
          </w:p>
        </w:tc>
        <w:tc>
          <w:tcPr>
            <w:tcW w:w="1817" w:type="dxa"/>
            <w:shd w:val="clear" w:color="auto" w:fill="F2DBDB"/>
          </w:tcPr>
          <w:p w:rsidR="00E73723" w:rsidRDefault="00E73723" w:rsidP="00814443">
            <w:pPr>
              <w:spacing w:after="60"/>
              <w:rPr>
                <w:sz w:val="20"/>
                <w:szCs w:val="20"/>
              </w:rPr>
            </w:pPr>
            <w:r>
              <w:rPr>
                <w:sz w:val="20"/>
                <w:szCs w:val="20"/>
              </w:rPr>
              <w:t>Align Identity and Access Frameworks</w:t>
            </w:r>
          </w:p>
        </w:tc>
        <w:tc>
          <w:tcPr>
            <w:tcW w:w="1333" w:type="dxa"/>
            <w:shd w:val="clear" w:color="auto" w:fill="F2DBDB"/>
          </w:tcPr>
          <w:p w:rsidR="00E73723" w:rsidRDefault="00E73723" w:rsidP="006C3BBF">
            <w:pPr>
              <w:spacing w:after="60"/>
              <w:rPr>
                <w:sz w:val="20"/>
                <w:szCs w:val="20"/>
              </w:rPr>
            </w:pPr>
            <w:r>
              <w:rPr>
                <w:sz w:val="20"/>
                <w:szCs w:val="20"/>
              </w:rPr>
              <w:t>PM-ISE, GSC</w:t>
            </w:r>
            <w:r w:rsidR="00693E80">
              <w:rPr>
                <w:sz w:val="20"/>
                <w:szCs w:val="20"/>
              </w:rPr>
              <w:t>, CNSS,</w:t>
            </w:r>
            <w:r>
              <w:rPr>
                <w:sz w:val="20"/>
                <w:szCs w:val="20"/>
              </w:rPr>
              <w:t xml:space="preserve"> and GSA</w:t>
            </w:r>
          </w:p>
        </w:tc>
        <w:tc>
          <w:tcPr>
            <w:tcW w:w="5058" w:type="dxa"/>
            <w:shd w:val="clear" w:color="auto" w:fill="F2DBDB"/>
          </w:tcPr>
          <w:p w:rsidR="00E73723" w:rsidRDefault="00E73723" w:rsidP="000A19BC">
            <w:pPr>
              <w:numPr>
                <w:ilvl w:val="0"/>
                <w:numId w:val="14"/>
              </w:numPr>
              <w:spacing w:after="60"/>
              <w:ind w:left="162" w:hanging="162"/>
              <w:rPr>
                <w:bCs/>
                <w:sz w:val="20"/>
              </w:rPr>
            </w:pPr>
            <w:r>
              <w:rPr>
                <w:bCs/>
                <w:sz w:val="20"/>
              </w:rPr>
              <w:t>Align Global Federated Identity and Privilege Management (GFIPM) and the Federal Identity, Credential and Access Management (FICAM) frameworks</w:t>
            </w:r>
          </w:p>
          <w:p w:rsidR="00E73723" w:rsidRDefault="00E73723" w:rsidP="000A19BC">
            <w:pPr>
              <w:numPr>
                <w:ilvl w:val="0"/>
                <w:numId w:val="14"/>
              </w:numPr>
              <w:spacing w:after="60"/>
              <w:ind w:left="162" w:hanging="162"/>
              <w:rPr>
                <w:bCs/>
                <w:sz w:val="20"/>
              </w:rPr>
            </w:pPr>
            <w:r>
              <w:rPr>
                <w:bCs/>
                <w:sz w:val="20"/>
              </w:rPr>
              <w:t>Certify the National Information Exchange Federation (NIEF) as a FICAM Trust Framework Provider, including adoption of GFIPM that is FICAM compliant</w:t>
            </w:r>
          </w:p>
          <w:p w:rsidR="00683F2F" w:rsidRDefault="00683F2F" w:rsidP="000A19BC">
            <w:pPr>
              <w:numPr>
                <w:ilvl w:val="0"/>
                <w:numId w:val="14"/>
              </w:numPr>
              <w:spacing w:after="60"/>
              <w:ind w:left="162" w:hanging="162"/>
              <w:rPr>
                <w:bCs/>
                <w:sz w:val="20"/>
              </w:rPr>
            </w:pPr>
            <w:r>
              <w:rPr>
                <w:bCs/>
                <w:sz w:val="20"/>
              </w:rPr>
              <w:t>Align the GFIPM and FICAM SAML Profiles</w:t>
            </w:r>
          </w:p>
          <w:p w:rsidR="00E73723" w:rsidRPr="000A19BC" w:rsidRDefault="00E73723" w:rsidP="00292422">
            <w:pPr>
              <w:numPr>
                <w:ilvl w:val="0"/>
                <w:numId w:val="14"/>
              </w:numPr>
              <w:spacing w:after="60"/>
              <w:ind w:left="162" w:hanging="162"/>
              <w:rPr>
                <w:bCs/>
                <w:sz w:val="20"/>
              </w:rPr>
            </w:pPr>
            <w:r>
              <w:rPr>
                <w:bCs/>
                <w:sz w:val="20"/>
              </w:rPr>
              <w:t xml:space="preserve">Draft a plan for implementation of FICAM on the Federal secret </w:t>
            </w:r>
            <w:r w:rsidR="00292422">
              <w:rPr>
                <w:bCs/>
                <w:sz w:val="20"/>
              </w:rPr>
              <w:t>networks.</w:t>
            </w:r>
          </w:p>
        </w:tc>
      </w:tr>
      <w:tr w:rsidR="005238E1" w:rsidRPr="001D08C5" w:rsidTr="00C65E41">
        <w:trPr>
          <w:jc w:val="center"/>
        </w:trPr>
        <w:tc>
          <w:tcPr>
            <w:tcW w:w="1368" w:type="dxa"/>
            <w:vMerge w:val="restart"/>
            <w:shd w:val="clear" w:color="auto" w:fill="F2DBDB"/>
            <w:vAlign w:val="center"/>
          </w:tcPr>
          <w:p w:rsidR="005238E1" w:rsidRPr="00F45EF0" w:rsidRDefault="005238E1" w:rsidP="00814443">
            <w:pPr>
              <w:spacing w:after="60"/>
              <w:jc w:val="center"/>
              <w:rPr>
                <w:sz w:val="20"/>
                <w:szCs w:val="20"/>
              </w:rPr>
            </w:pPr>
            <w:r>
              <w:rPr>
                <w:sz w:val="20"/>
                <w:szCs w:val="20"/>
              </w:rPr>
              <w:t>Long</w:t>
            </w:r>
            <w:r w:rsidRPr="00F45EF0">
              <w:rPr>
                <w:sz w:val="20"/>
                <w:szCs w:val="20"/>
              </w:rPr>
              <w:t>-term</w:t>
            </w:r>
          </w:p>
          <w:p w:rsidR="005238E1" w:rsidRPr="00F45EF0" w:rsidRDefault="005238E1" w:rsidP="00814443">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5238E1" w:rsidRPr="001D08C5" w:rsidRDefault="005238E1" w:rsidP="00814443">
            <w:pPr>
              <w:spacing w:after="60"/>
              <w:rPr>
                <w:sz w:val="20"/>
                <w:szCs w:val="20"/>
              </w:rPr>
            </w:pPr>
            <w:r>
              <w:rPr>
                <w:sz w:val="20"/>
                <w:szCs w:val="20"/>
              </w:rPr>
              <w:t>Implement Recommendations from AFEI Report</w:t>
            </w:r>
            <w:r w:rsidR="00292422">
              <w:rPr>
                <w:sz w:val="20"/>
                <w:szCs w:val="20"/>
              </w:rPr>
              <w:t xml:space="preserve"> titled “</w:t>
            </w:r>
            <w:hyperlink r:id="rId9" w:history="1">
              <w:r w:rsidR="00292422" w:rsidRPr="00292422">
                <w:rPr>
                  <w:rStyle w:val="Hyperlink"/>
                  <w:sz w:val="20"/>
                  <w:szCs w:val="20"/>
                </w:rPr>
                <w:t>Industry Comments and Recommendations for Federated Identity Management</w:t>
              </w:r>
            </w:hyperlink>
            <w:r w:rsidR="00292422">
              <w:rPr>
                <w:rStyle w:val="FootnoteReference"/>
                <w:sz w:val="20"/>
                <w:szCs w:val="20"/>
              </w:rPr>
              <w:footnoteReference w:id="1"/>
            </w:r>
            <w:r w:rsidR="00292422">
              <w:rPr>
                <w:sz w:val="20"/>
                <w:szCs w:val="20"/>
              </w:rPr>
              <w:t>”.</w:t>
            </w:r>
          </w:p>
        </w:tc>
        <w:tc>
          <w:tcPr>
            <w:tcW w:w="1333" w:type="dxa"/>
            <w:shd w:val="clear" w:color="auto" w:fill="F2DBDB"/>
          </w:tcPr>
          <w:p w:rsidR="005238E1" w:rsidRPr="001D08C5" w:rsidRDefault="005238E1" w:rsidP="006C3BBF">
            <w:pPr>
              <w:spacing w:after="60"/>
              <w:rPr>
                <w:sz w:val="20"/>
                <w:szCs w:val="20"/>
              </w:rPr>
            </w:pPr>
            <w:r>
              <w:rPr>
                <w:sz w:val="20"/>
                <w:szCs w:val="20"/>
              </w:rPr>
              <w:t>PM-ISE, GSA and A</w:t>
            </w:r>
            <w:r w:rsidR="006C3BBF">
              <w:rPr>
                <w:sz w:val="20"/>
                <w:szCs w:val="20"/>
              </w:rPr>
              <w:t>FEI</w:t>
            </w:r>
          </w:p>
        </w:tc>
        <w:tc>
          <w:tcPr>
            <w:tcW w:w="5058" w:type="dxa"/>
            <w:shd w:val="clear" w:color="auto" w:fill="F2DBDB"/>
          </w:tcPr>
          <w:p w:rsidR="005238E1" w:rsidRPr="000A19BC" w:rsidRDefault="005238E1" w:rsidP="000A19BC">
            <w:pPr>
              <w:numPr>
                <w:ilvl w:val="0"/>
                <w:numId w:val="14"/>
              </w:numPr>
              <w:spacing w:after="60"/>
              <w:ind w:left="162" w:hanging="162"/>
              <w:rPr>
                <w:bCs/>
                <w:sz w:val="20"/>
              </w:rPr>
            </w:pPr>
            <w:r w:rsidRPr="000A19BC">
              <w:rPr>
                <w:bCs/>
                <w:sz w:val="20"/>
              </w:rPr>
              <w:t xml:space="preserve">Clarify the applicability of policy requirements to logical vice physical access control, especially for logical access to information systems with a broad user base across government and industry </w:t>
            </w:r>
          </w:p>
          <w:p w:rsidR="005238E1" w:rsidRPr="000A19BC" w:rsidRDefault="005238E1" w:rsidP="000A19BC">
            <w:pPr>
              <w:numPr>
                <w:ilvl w:val="0"/>
                <w:numId w:val="14"/>
              </w:numPr>
              <w:spacing w:after="60"/>
              <w:ind w:left="162" w:hanging="162"/>
              <w:rPr>
                <w:bCs/>
                <w:sz w:val="20"/>
              </w:rPr>
            </w:pPr>
            <w:r w:rsidRPr="000A19BC">
              <w:rPr>
                <w:bCs/>
                <w:sz w:val="20"/>
              </w:rPr>
              <w:t xml:space="preserve">Create implementation guides including specific “build to” requirements, specifications and/or profiles that can be used across Federal agency information systems to encourage interoperability </w:t>
            </w:r>
          </w:p>
          <w:p w:rsidR="005238E1" w:rsidRDefault="005238E1" w:rsidP="000A19BC">
            <w:pPr>
              <w:numPr>
                <w:ilvl w:val="0"/>
                <w:numId w:val="14"/>
              </w:numPr>
              <w:spacing w:after="60"/>
              <w:ind w:left="162" w:hanging="162"/>
              <w:rPr>
                <w:bCs/>
                <w:sz w:val="20"/>
              </w:rPr>
            </w:pPr>
            <w:r w:rsidRPr="000A19BC">
              <w:rPr>
                <w:bCs/>
                <w:sz w:val="20"/>
              </w:rPr>
              <w:t>Develop and communicate a holistic view of the federated identity management ecosystem, including actions government and industry can take to support the viability of the</w:t>
            </w:r>
            <w:r>
              <w:rPr>
                <w:bCs/>
                <w:sz w:val="20"/>
              </w:rPr>
              <w:t xml:space="preserve"> ecosystem for all participants</w:t>
            </w:r>
          </w:p>
          <w:p w:rsidR="005238E1" w:rsidRPr="000A19BC" w:rsidRDefault="005238E1" w:rsidP="000A19BC">
            <w:pPr>
              <w:numPr>
                <w:ilvl w:val="0"/>
                <w:numId w:val="14"/>
              </w:numPr>
              <w:spacing w:after="60"/>
              <w:ind w:left="162" w:hanging="162"/>
              <w:rPr>
                <w:bCs/>
                <w:sz w:val="20"/>
              </w:rPr>
            </w:pPr>
            <w:r w:rsidRPr="000A19BC">
              <w:rPr>
                <w:bCs/>
                <w:sz w:val="20"/>
              </w:rPr>
              <w:t xml:space="preserve">Develop a lexicon of applicable terminology, including differences in usage across communities </w:t>
            </w:r>
          </w:p>
        </w:tc>
      </w:tr>
      <w:tr w:rsidR="005238E1" w:rsidRPr="001D08C5" w:rsidTr="00C65E41">
        <w:trPr>
          <w:jc w:val="center"/>
        </w:trPr>
        <w:tc>
          <w:tcPr>
            <w:tcW w:w="1368" w:type="dxa"/>
            <w:vMerge/>
            <w:shd w:val="clear" w:color="auto" w:fill="F2DBDB"/>
            <w:vAlign w:val="center"/>
          </w:tcPr>
          <w:p w:rsidR="005238E1" w:rsidRDefault="005238E1" w:rsidP="00814443">
            <w:pPr>
              <w:spacing w:after="60"/>
              <w:jc w:val="center"/>
              <w:rPr>
                <w:sz w:val="20"/>
                <w:szCs w:val="20"/>
              </w:rPr>
            </w:pPr>
          </w:p>
        </w:tc>
        <w:tc>
          <w:tcPr>
            <w:tcW w:w="1817" w:type="dxa"/>
            <w:shd w:val="clear" w:color="auto" w:fill="F2DBDB"/>
          </w:tcPr>
          <w:p w:rsidR="005238E1" w:rsidRDefault="005238E1" w:rsidP="00814443">
            <w:pPr>
              <w:spacing w:after="60"/>
              <w:rPr>
                <w:sz w:val="20"/>
                <w:szCs w:val="20"/>
              </w:rPr>
            </w:pPr>
            <w:r>
              <w:rPr>
                <w:sz w:val="20"/>
                <w:szCs w:val="20"/>
              </w:rPr>
              <w:t xml:space="preserve">Complete a Backend Attribute Exchange </w:t>
            </w:r>
            <w:r w:rsidR="0084362A">
              <w:rPr>
                <w:sz w:val="20"/>
                <w:szCs w:val="20"/>
              </w:rPr>
              <w:t xml:space="preserve">(BAE) </w:t>
            </w:r>
            <w:r>
              <w:rPr>
                <w:sz w:val="20"/>
                <w:szCs w:val="20"/>
              </w:rPr>
              <w:t>Pilot</w:t>
            </w:r>
          </w:p>
        </w:tc>
        <w:tc>
          <w:tcPr>
            <w:tcW w:w="1333" w:type="dxa"/>
            <w:shd w:val="clear" w:color="auto" w:fill="F2DBDB"/>
          </w:tcPr>
          <w:p w:rsidR="005238E1" w:rsidRDefault="005238E1" w:rsidP="00814443">
            <w:pPr>
              <w:spacing w:after="60"/>
              <w:rPr>
                <w:sz w:val="20"/>
                <w:szCs w:val="20"/>
              </w:rPr>
            </w:pPr>
            <w:r>
              <w:rPr>
                <w:sz w:val="20"/>
                <w:szCs w:val="20"/>
              </w:rPr>
              <w:t>GSA and PM-ISE</w:t>
            </w:r>
          </w:p>
        </w:tc>
        <w:tc>
          <w:tcPr>
            <w:tcW w:w="5058" w:type="dxa"/>
            <w:shd w:val="clear" w:color="auto" w:fill="F2DBDB"/>
          </w:tcPr>
          <w:p w:rsidR="005238E1" w:rsidRDefault="0084362A" w:rsidP="000A19BC">
            <w:pPr>
              <w:numPr>
                <w:ilvl w:val="0"/>
                <w:numId w:val="14"/>
              </w:numPr>
              <w:spacing w:after="60"/>
              <w:ind w:left="162" w:hanging="162"/>
              <w:rPr>
                <w:bCs/>
                <w:sz w:val="20"/>
              </w:rPr>
            </w:pPr>
            <w:r>
              <w:rPr>
                <w:bCs/>
                <w:sz w:val="20"/>
              </w:rPr>
              <w:t>Integrate current technical</w:t>
            </w:r>
            <w:r w:rsidR="005238E1">
              <w:rPr>
                <w:bCs/>
                <w:sz w:val="20"/>
              </w:rPr>
              <w:t xml:space="preserve"> components to provide a BAE infrastructure</w:t>
            </w:r>
          </w:p>
          <w:p w:rsidR="005238E1" w:rsidRDefault="005238E1" w:rsidP="000A19BC">
            <w:pPr>
              <w:numPr>
                <w:ilvl w:val="0"/>
                <w:numId w:val="14"/>
              </w:numPr>
              <w:spacing w:after="60"/>
              <w:ind w:left="162" w:hanging="162"/>
              <w:rPr>
                <w:bCs/>
                <w:sz w:val="20"/>
              </w:rPr>
            </w:pPr>
            <w:r>
              <w:rPr>
                <w:bCs/>
                <w:sz w:val="20"/>
              </w:rPr>
              <w:t>Conduct a pilot to demonstrate BAE business case across mission partners</w:t>
            </w:r>
          </w:p>
          <w:p w:rsidR="00E102E6" w:rsidRDefault="00E102E6" w:rsidP="000A19BC">
            <w:pPr>
              <w:numPr>
                <w:ilvl w:val="0"/>
                <w:numId w:val="14"/>
              </w:numPr>
              <w:spacing w:after="60"/>
              <w:ind w:left="162" w:hanging="162"/>
              <w:rPr>
                <w:bCs/>
                <w:sz w:val="20"/>
              </w:rPr>
            </w:pPr>
            <w:r>
              <w:rPr>
                <w:bCs/>
                <w:sz w:val="20"/>
              </w:rPr>
              <w:t>Incorporate exchanges to demonstrate audit and reporting requireme</w:t>
            </w:r>
            <w:r w:rsidR="00F630AB">
              <w:rPr>
                <w:bCs/>
                <w:sz w:val="20"/>
              </w:rPr>
              <w:t>nts</w:t>
            </w:r>
          </w:p>
          <w:p w:rsidR="008A3A75" w:rsidRPr="000A19BC" w:rsidRDefault="008A3A75" w:rsidP="000A19BC">
            <w:pPr>
              <w:numPr>
                <w:ilvl w:val="0"/>
                <w:numId w:val="14"/>
              </w:numPr>
              <w:spacing w:after="60"/>
              <w:ind w:left="162" w:hanging="162"/>
              <w:rPr>
                <w:bCs/>
                <w:sz w:val="20"/>
              </w:rPr>
            </w:pPr>
            <w:r>
              <w:rPr>
                <w:bCs/>
                <w:sz w:val="20"/>
              </w:rPr>
              <w:t>Align GFIPM and FICAM Security Assertion Markup Language (SAML) profiles</w:t>
            </w:r>
          </w:p>
        </w:tc>
      </w:tr>
    </w:tbl>
    <w:p w:rsidR="006D049A" w:rsidRDefault="006D049A" w:rsidP="006D049A">
      <w:pPr>
        <w:pStyle w:val="Heading1"/>
      </w:pPr>
      <w:r>
        <w:t>Policy Automation</w:t>
      </w:r>
    </w:p>
    <w:p w:rsidR="006D049A" w:rsidRDefault="006D049A" w:rsidP="006D049A">
      <w:r>
        <w:t xml:space="preserve">Many decisions to share information are based on policy and law. </w:t>
      </w:r>
      <w:r w:rsidR="006067CE">
        <w:t xml:space="preserve"> </w:t>
      </w:r>
      <w:r>
        <w:t xml:space="preserve">However, the decision to share this information is often a time consuming manual process that impedes </w:t>
      </w:r>
      <w:r w:rsidR="007F14DA">
        <w:t xml:space="preserve">or delays </w:t>
      </w:r>
      <w:r>
        <w:t xml:space="preserve">the sharing of critical information.  </w:t>
      </w:r>
      <w:r w:rsidR="006067CE">
        <w:t>This is</w:t>
      </w:r>
      <w:r w:rsidR="0084362A">
        <w:t xml:space="preserve"> especially true in privacy </w:t>
      </w:r>
      <w:r w:rsidR="006067CE">
        <w:t xml:space="preserve">where laws and policies are open for interpretation and vary by community or district.  </w:t>
      </w:r>
      <w:r>
        <w:t xml:space="preserve">Instead, it is desired that these decisions are automated </w:t>
      </w:r>
      <w:r w:rsidR="00701F51">
        <w:t xml:space="preserve">by translating policies to machine readable formats, and </w:t>
      </w:r>
      <w:r>
        <w:t xml:space="preserve">through the use of robust metadata and ontologies.  </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814443" w:rsidRPr="001D08C5" w:rsidTr="00E354F2">
        <w:trPr>
          <w:jc w:val="center"/>
        </w:trPr>
        <w:tc>
          <w:tcPr>
            <w:tcW w:w="9914" w:type="dxa"/>
            <w:gridSpan w:val="2"/>
            <w:shd w:val="clear" w:color="auto" w:fill="632423"/>
          </w:tcPr>
          <w:p w:rsidR="00814443" w:rsidRPr="001D08C5" w:rsidRDefault="00814443" w:rsidP="00814443">
            <w:pPr>
              <w:spacing w:after="60"/>
              <w:rPr>
                <w:b/>
                <w:sz w:val="20"/>
                <w:szCs w:val="20"/>
              </w:rPr>
            </w:pPr>
            <w:r w:rsidRPr="001D08C5">
              <w:rPr>
                <w:b/>
                <w:sz w:val="20"/>
                <w:szCs w:val="20"/>
              </w:rPr>
              <w:t>Category Overview</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Business Value</w:t>
            </w:r>
          </w:p>
        </w:tc>
        <w:tc>
          <w:tcPr>
            <w:tcW w:w="7939" w:type="dxa"/>
            <w:shd w:val="clear" w:color="auto" w:fill="F2DBDB"/>
          </w:tcPr>
          <w:p w:rsidR="00814443" w:rsidRDefault="007F14DA" w:rsidP="00814443">
            <w:pPr>
              <w:numPr>
                <w:ilvl w:val="0"/>
                <w:numId w:val="14"/>
              </w:numPr>
              <w:spacing w:after="60"/>
              <w:ind w:left="162" w:hanging="162"/>
              <w:rPr>
                <w:sz w:val="20"/>
                <w:szCs w:val="20"/>
              </w:rPr>
            </w:pPr>
            <w:r>
              <w:rPr>
                <w:sz w:val="20"/>
                <w:szCs w:val="20"/>
              </w:rPr>
              <w:t>Development of reusable agreements provides opportunities for cost efficiencies and fosters reuse</w:t>
            </w:r>
          </w:p>
          <w:p w:rsidR="00BE6C92" w:rsidRDefault="00BE6C92" w:rsidP="00814443">
            <w:pPr>
              <w:numPr>
                <w:ilvl w:val="0"/>
                <w:numId w:val="14"/>
              </w:numPr>
              <w:spacing w:after="60"/>
              <w:ind w:left="162" w:hanging="162"/>
              <w:rPr>
                <w:sz w:val="20"/>
                <w:szCs w:val="20"/>
              </w:rPr>
            </w:pPr>
            <w:r>
              <w:rPr>
                <w:sz w:val="20"/>
                <w:szCs w:val="20"/>
              </w:rPr>
              <w:t>Improved ability to determine data ownership</w:t>
            </w:r>
          </w:p>
          <w:p w:rsidR="00292422" w:rsidRPr="001D08C5" w:rsidRDefault="00292422" w:rsidP="00814443">
            <w:pPr>
              <w:numPr>
                <w:ilvl w:val="0"/>
                <w:numId w:val="14"/>
              </w:numPr>
              <w:spacing w:after="60"/>
              <w:ind w:left="162" w:hanging="162"/>
              <w:rPr>
                <w:sz w:val="20"/>
                <w:szCs w:val="20"/>
              </w:rPr>
            </w:pPr>
            <w:r w:rsidRPr="00292422">
              <w:rPr>
                <w:sz w:val="20"/>
                <w:szCs w:val="20"/>
              </w:rPr>
              <w:t>Develop/define/discover information sharing and privacy rules that guide behavior and appropriate information sharing</w:t>
            </w:r>
          </w:p>
        </w:tc>
      </w:tr>
      <w:tr w:rsidR="00814443" w:rsidRPr="001D08C5" w:rsidTr="00E354F2">
        <w:trPr>
          <w:jc w:val="center"/>
        </w:trPr>
        <w:tc>
          <w:tcPr>
            <w:tcW w:w="1975" w:type="dxa"/>
            <w:shd w:val="clear" w:color="auto" w:fill="632423"/>
          </w:tcPr>
          <w:p w:rsidR="00814443" w:rsidRPr="001D08C5" w:rsidRDefault="00814443" w:rsidP="00814443">
            <w:pPr>
              <w:spacing w:after="60"/>
              <w:rPr>
                <w:b/>
                <w:bCs/>
                <w:sz w:val="20"/>
                <w:szCs w:val="20"/>
              </w:rPr>
            </w:pPr>
            <w:r w:rsidRPr="001D08C5">
              <w:rPr>
                <w:b/>
                <w:bCs/>
                <w:sz w:val="20"/>
                <w:szCs w:val="20"/>
              </w:rPr>
              <w:t>Relevancy to other recommendations</w:t>
            </w:r>
          </w:p>
        </w:tc>
        <w:tc>
          <w:tcPr>
            <w:tcW w:w="7939" w:type="dxa"/>
            <w:shd w:val="clear" w:color="auto" w:fill="F2DBDB"/>
          </w:tcPr>
          <w:p w:rsidR="00814443" w:rsidRDefault="005238E1" w:rsidP="000A19BC">
            <w:pPr>
              <w:numPr>
                <w:ilvl w:val="0"/>
                <w:numId w:val="14"/>
              </w:numPr>
              <w:spacing w:after="60"/>
              <w:ind w:left="162" w:hanging="162"/>
              <w:rPr>
                <w:bCs/>
                <w:sz w:val="20"/>
              </w:rPr>
            </w:pPr>
            <w:r>
              <w:rPr>
                <w:bCs/>
                <w:sz w:val="20"/>
              </w:rPr>
              <w:t>Policy automation activities are close</w:t>
            </w:r>
            <w:r w:rsidR="00E57033">
              <w:rPr>
                <w:bCs/>
                <w:sz w:val="20"/>
              </w:rPr>
              <w:t>ly</w:t>
            </w:r>
            <w:r>
              <w:rPr>
                <w:bCs/>
                <w:sz w:val="20"/>
              </w:rPr>
              <w:t xml:space="preserve"> aligned to identity and access management</w:t>
            </w:r>
          </w:p>
          <w:p w:rsidR="005238E1" w:rsidRDefault="005238E1" w:rsidP="000A19BC">
            <w:pPr>
              <w:numPr>
                <w:ilvl w:val="0"/>
                <w:numId w:val="14"/>
              </w:numPr>
              <w:spacing w:after="60"/>
              <w:ind w:left="162" w:hanging="162"/>
              <w:rPr>
                <w:bCs/>
                <w:sz w:val="20"/>
              </w:rPr>
            </w:pPr>
            <w:r>
              <w:rPr>
                <w:bCs/>
                <w:sz w:val="20"/>
              </w:rPr>
              <w:t>The privacy dictionary and related terms should be considered for incorporation into NIEM</w:t>
            </w:r>
          </w:p>
        </w:tc>
      </w:tr>
    </w:tbl>
    <w:p w:rsidR="00814443" w:rsidRDefault="00814443" w:rsidP="00814443"/>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814443" w:rsidRPr="001D08C5" w:rsidTr="00C65E41">
        <w:trPr>
          <w:tblHeader/>
          <w:jc w:val="center"/>
        </w:trPr>
        <w:tc>
          <w:tcPr>
            <w:tcW w:w="9576" w:type="dxa"/>
            <w:gridSpan w:val="4"/>
            <w:shd w:val="clear" w:color="auto" w:fill="632423"/>
          </w:tcPr>
          <w:p w:rsidR="00814443" w:rsidRPr="001D08C5" w:rsidRDefault="00814443" w:rsidP="00814443">
            <w:pPr>
              <w:spacing w:after="60"/>
              <w:rPr>
                <w:b/>
                <w:sz w:val="20"/>
                <w:szCs w:val="20"/>
              </w:rPr>
            </w:pPr>
            <w:r>
              <w:rPr>
                <w:b/>
                <w:sz w:val="20"/>
                <w:szCs w:val="20"/>
              </w:rPr>
              <w:t>Action Item Overview</w:t>
            </w:r>
          </w:p>
        </w:tc>
      </w:tr>
      <w:tr w:rsidR="00814443" w:rsidRPr="001D08C5" w:rsidTr="00C65E41">
        <w:trPr>
          <w:trHeight w:val="610"/>
          <w:tblHeader/>
          <w:jc w:val="center"/>
        </w:trPr>
        <w:tc>
          <w:tcPr>
            <w:tcW w:w="3185" w:type="dxa"/>
            <w:gridSpan w:val="2"/>
            <w:shd w:val="clear" w:color="auto" w:fill="632423"/>
            <w:vAlign w:val="center"/>
          </w:tcPr>
          <w:p w:rsidR="00814443" w:rsidRPr="001D08C5" w:rsidRDefault="00814443" w:rsidP="00814443">
            <w:pPr>
              <w:spacing w:after="60"/>
              <w:jc w:val="center"/>
              <w:rPr>
                <w:b/>
                <w:sz w:val="20"/>
                <w:szCs w:val="20"/>
              </w:rPr>
            </w:pPr>
            <w:r w:rsidRPr="001D08C5">
              <w:rPr>
                <w:b/>
                <w:sz w:val="20"/>
                <w:szCs w:val="20"/>
              </w:rPr>
              <w:t>Action</w:t>
            </w:r>
          </w:p>
        </w:tc>
        <w:tc>
          <w:tcPr>
            <w:tcW w:w="1333" w:type="dxa"/>
            <w:shd w:val="clear" w:color="auto" w:fill="632423"/>
            <w:vAlign w:val="center"/>
          </w:tcPr>
          <w:p w:rsidR="00814443" w:rsidRPr="001D08C5" w:rsidRDefault="00876D58" w:rsidP="00814443">
            <w:pPr>
              <w:spacing w:after="60"/>
              <w:jc w:val="center"/>
              <w:rPr>
                <w:b/>
                <w:sz w:val="20"/>
                <w:szCs w:val="20"/>
              </w:rPr>
            </w:pPr>
            <w:r>
              <w:rPr>
                <w:b/>
                <w:sz w:val="20"/>
                <w:szCs w:val="20"/>
              </w:rPr>
              <w:t xml:space="preserve">SCC </w:t>
            </w:r>
            <w:r w:rsidR="00814443" w:rsidRPr="001D08C5">
              <w:rPr>
                <w:b/>
                <w:sz w:val="20"/>
                <w:szCs w:val="20"/>
              </w:rPr>
              <w:t>Lead Organization</w:t>
            </w:r>
          </w:p>
        </w:tc>
        <w:tc>
          <w:tcPr>
            <w:tcW w:w="5058" w:type="dxa"/>
            <w:shd w:val="clear" w:color="auto" w:fill="632423"/>
            <w:vAlign w:val="center"/>
          </w:tcPr>
          <w:p w:rsidR="00814443" w:rsidRPr="001D08C5" w:rsidRDefault="00814443" w:rsidP="00814443">
            <w:pPr>
              <w:spacing w:after="60"/>
              <w:jc w:val="center"/>
              <w:rPr>
                <w:b/>
                <w:sz w:val="20"/>
                <w:szCs w:val="20"/>
              </w:rPr>
            </w:pPr>
            <w:r w:rsidRPr="001D08C5">
              <w:rPr>
                <w:b/>
                <w:sz w:val="20"/>
                <w:szCs w:val="20"/>
              </w:rPr>
              <w:t>Description</w:t>
            </w:r>
          </w:p>
        </w:tc>
      </w:tr>
      <w:tr w:rsidR="00814443" w:rsidRPr="001D08C5" w:rsidTr="00C65E41">
        <w:trPr>
          <w:jc w:val="center"/>
        </w:trPr>
        <w:tc>
          <w:tcPr>
            <w:tcW w:w="1368" w:type="dxa"/>
            <w:shd w:val="clear" w:color="auto" w:fill="F2DBDB"/>
            <w:vAlign w:val="center"/>
          </w:tcPr>
          <w:p w:rsidR="00814443" w:rsidRPr="00F45EF0" w:rsidRDefault="00814443" w:rsidP="00814443">
            <w:pPr>
              <w:spacing w:after="60"/>
              <w:jc w:val="center"/>
              <w:rPr>
                <w:sz w:val="20"/>
                <w:szCs w:val="20"/>
              </w:rPr>
            </w:pPr>
            <w:r w:rsidRPr="00F45EF0">
              <w:rPr>
                <w:sz w:val="20"/>
                <w:szCs w:val="20"/>
              </w:rPr>
              <w:t>Short-term</w:t>
            </w:r>
          </w:p>
          <w:p w:rsidR="00814443" w:rsidRPr="00F45EF0" w:rsidRDefault="00814443" w:rsidP="00814443">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814443" w:rsidRPr="001D08C5" w:rsidRDefault="00E23E20" w:rsidP="00A631EC">
            <w:pPr>
              <w:spacing w:after="60"/>
              <w:rPr>
                <w:sz w:val="20"/>
                <w:szCs w:val="20"/>
              </w:rPr>
            </w:pPr>
            <w:r>
              <w:rPr>
                <w:sz w:val="20"/>
                <w:szCs w:val="20"/>
              </w:rPr>
              <w:t xml:space="preserve">Develop </w:t>
            </w:r>
            <w:r w:rsidR="00A631EC">
              <w:rPr>
                <w:sz w:val="20"/>
                <w:szCs w:val="20"/>
              </w:rPr>
              <w:t xml:space="preserve">Optimized </w:t>
            </w:r>
            <w:r>
              <w:rPr>
                <w:sz w:val="20"/>
                <w:szCs w:val="20"/>
              </w:rPr>
              <w:t xml:space="preserve">Process and Template for </w:t>
            </w:r>
            <w:r w:rsidR="00A631EC">
              <w:rPr>
                <w:sz w:val="20"/>
                <w:szCs w:val="20"/>
              </w:rPr>
              <w:t xml:space="preserve">Information Sharing </w:t>
            </w:r>
            <w:r>
              <w:rPr>
                <w:sz w:val="20"/>
                <w:szCs w:val="20"/>
              </w:rPr>
              <w:t>Agreements</w:t>
            </w:r>
            <w:r w:rsidR="003807B1">
              <w:rPr>
                <w:sz w:val="20"/>
                <w:szCs w:val="20"/>
              </w:rPr>
              <w:t xml:space="preserve"> </w:t>
            </w:r>
          </w:p>
        </w:tc>
        <w:tc>
          <w:tcPr>
            <w:tcW w:w="1333" w:type="dxa"/>
            <w:shd w:val="clear" w:color="auto" w:fill="F2DBDB"/>
          </w:tcPr>
          <w:p w:rsidR="00814443" w:rsidRPr="001D08C5" w:rsidRDefault="00E23E20" w:rsidP="0088791F">
            <w:pPr>
              <w:spacing w:after="60"/>
              <w:rPr>
                <w:sz w:val="20"/>
                <w:szCs w:val="20"/>
              </w:rPr>
            </w:pPr>
            <w:r>
              <w:rPr>
                <w:sz w:val="20"/>
                <w:szCs w:val="20"/>
              </w:rPr>
              <w:t>DHS</w:t>
            </w:r>
            <w:r w:rsidR="0088791F">
              <w:rPr>
                <w:sz w:val="20"/>
                <w:szCs w:val="20"/>
              </w:rPr>
              <w:t>,</w:t>
            </w:r>
            <w:r>
              <w:rPr>
                <w:sz w:val="20"/>
                <w:szCs w:val="20"/>
              </w:rPr>
              <w:t xml:space="preserve"> PM-ISE</w:t>
            </w:r>
            <w:r w:rsidR="0088791F">
              <w:rPr>
                <w:sz w:val="20"/>
                <w:szCs w:val="20"/>
              </w:rPr>
              <w:t>, GSC</w:t>
            </w:r>
          </w:p>
        </w:tc>
        <w:tc>
          <w:tcPr>
            <w:tcW w:w="5058" w:type="dxa"/>
            <w:shd w:val="clear" w:color="auto" w:fill="F2DBDB"/>
          </w:tcPr>
          <w:p w:rsidR="00814443" w:rsidRPr="0001584B" w:rsidRDefault="004D1D2D" w:rsidP="003807B1">
            <w:pPr>
              <w:numPr>
                <w:ilvl w:val="0"/>
                <w:numId w:val="14"/>
              </w:numPr>
              <w:spacing w:after="60"/>
              <w:ind w:left="162" w:hanging="162"/>
              <w:rPr>
                <w:bCs/>
                <w:sz w:val="20"/>
              </w:rPr>
            </w:pPr>
            <w:r>
              <w:rPr>
                <w:bCs/>
                <w:sz w:val="20"/>
              </w:rPr>
              <w:t>Gain agr</w:t>
            </w:r>
            <w:r w:rsidR="0001584B">
              <w:rPr>
                <w:bCs/>
                <w:sz w:val="20"/>
              </w:rPr>
              <w:t xml:space="preserve">eement on process and template for developing </w:t>
            </w:r>
            <w:r w:rsidR="003807B1">
              <w:rPr>
                <w:bCs/>
                <w:sz w:val="20"/>
              </w:rPr>
              <w:t>information sharing</w:t>
            </w:r>
            <w:r w:rsidR="0001584B">
              <w:rPr>
                <w:bCs/>
                <w:sz w:val="20"/>
              </w:rPr>
              <w:t xml:space="preserve"> agreements and </w:t>
            </w:r>
            <w:r>
              <w:rPr>
                <w:bCs/>
                <w:sz w:val="20"/>
              </w:rPr>
              <w:t xml:space="preserve">identify </w:t>
            </w:r>
            <w:r w:rsidR="0001584B">
              <w:rPr>
                <w:bCs/>
                <w:sz w:val="20"/>
              </w:rPr>
              <w:t>privacy implications</w:t>
            </w:r>
          </w:p>
        </w:tc>
      </w:tr>
      <w:tr w:rsidR="004D1D2D" w:rsidRPr="001D08C5" w:rsidTr="00C65E41">
        <w:trPr>
          <w:jc w:val="center"/>
        </w:trPr>
        <w:tc>
          <w:tcPr>
            <w:tcW w:w="1368" w:type="dxa"/>
            <w:vMerge w:val="restart"/>
            <w:shd w:val="clear" w:color="auto" w:fill="F2DBDB"/>
            <w:vAlign w:val="center"/>
          </w:tcPr>
          <w:p w:rsidR="004D1D2D" w:rsidRPr="00F45EF0" w:rsidRDefault="004D1D2D" w:rsidP="00814443">
            <w:pPr>
              <w:spacing w:after="60"/>
              <w:jc w:val="center"/>
              <w:rPr>
                <w:sz w:val="20"/>
                <w:szCs w:val="20"/>
              </w:rPr>
            </w:pPr>
            <w:r>
              <w:rPr>
                <w:sz w:val="20"/>
                <w:szCs w:val="20"/>
              </w:rPr>
              <w:t>Long</w:t>
            </w:r>
            <w:r w:rsidRPr="00F45EF0">
              <w:rPr>
                <w:sz w:val="20"/>
                <w:szCs w:val="20"/>
              </w:rPr>
              <w:t>-term</w:t>
            </w:r>
          </w:p>
          <w:p w:rsidR="004D1D2D" w:rsidRPr="00F45EF0" w:rsidRDefault="004D1D2D" w:rsidP="00814443">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4D1D2D" w:rsidRPr="001D08C5" w:rsidRDefault="004D1D2D" w:rsidP="00814443">
            <w:pPr>
              <w:spacing w:after="60"/>
              <w:rPr>
                <w:sz w:val="20"/>
                <w:szCs w:val="20"/>
              </w:rPr>
            </w:pPr>
            <w:r>
              <w:rPr>
                <w:sz w:val="20"/>
                <w:szCs w:val="20"/>
              </w:rPr>
              <w:t>Complete a Privacy Rule Dictionary</w:t>
            </w:r>
          </w:p>
        </w:tc>
        <w:tc>
          <w:tcPr>
            <w:tcW w:w="1333" w:type="dxa"/>
            <w:shd w:val="clear" w:color="auto" w:fill="F2DBDB"/>
          </w:tcPr>
          <w:p w:rsidR="004D1D2D" w:rsidRPr="001D08C5" w:rsidRDefault="003807B1" w:rsidP="00814443">
            <w:pPr>
              <w:spacing w:after="60"/>
              <w:rPr>
                <w:sz w:val="20"/>
                <w:szCs w:val="20"/>
              </w:rPr>
            </w:pPr>
            <w:r>
              <w:rPr>
                <w:sz w:val="20"/>
                <w:szCs w:val="20"/>
              </w:rPr>
              <w:t>NIEM PMO</w:t>
            </w:r>
            <w:r w:rsidR="0088791F">
              <w:rPr>
                <w:sz w:val="20"/>
                <w:szCs w:val="20"/>
              </w:rPr>
              <w:t>, GSC,</w:t>
            </w:r>
            <w:r>
              <w:rPr>
                <w:sz w:val="20"/>
                <w:szCs w:val="20"/>
              </w:rPr>
              <w:t xml:space="preserve"> </w:t>
            </w:r>
            <w:r w:rsidR="004D1D2D">
              <w:rPr>
                <w:sz w:val="20"/>
                <w:szCs w:val="20"/>
              </w:rPr>
              <w:t>and PM-ISE</w:t>
            </w:r>
          </w:p>
        </w:tc>
        <w:tc>
          <w:tcPr>
            <w:tcW w:w="5058" w:type="dxa"/>
            <w:shd w:val="clear" w:color="auto" w:fill="F2DBDB"/>
          </w:tcPr>
          <w:p w:rsidR="004D1D2D" w:rsidRPr="000A19BC" w:rsidRDefault="004D1D2D" w:rsidP="000A19BC">
            <w:pPr>
              <w:numPr>
                <w:ilvl w:val="0"/>
                <w:numId w:val="14"/>
              </w:numPr>
              <w:spacing w:after="60"/>
              <w:ind w:left="162" w:hanging="162"/>
              <w:rPr>
                <w:bCs/>
                <w:sz w:val="20"/>
              </w:rPr>
            </w:pPr>
            <w:r>
              <w:rPr>
                <w:bCs/>
                <w:sz w:val="20"/>
              </w:rPr>
              <w:t>Work with relevant governance councils to identify common terms and definitions for privacy</w:t>
            </w:r>
          </w:p>
        </w:tc>
      </w:tr>
      <w:tr w:rsidR="004D1D2D" w:rsidRPr="001D08C5" w:rsidTr="00C65E41">
        <w:trPr>
          <w:jc w:val="center"/>
        </w:trPr>
        <w:tc>
          <w:tcPr>
            <w:tcW w:w="1368" w:type="dxa"/>
            <w:vMerge/>
            <w:shd w:val="clear" w:color="auto" w:fill="F2DBDB"/>
            <w:vAlign w:val="center"/>
          </w:tcPr>
          <w:p w:rsidR="004D1D2D" w:rsidRDefault="004D1D2D" w:rsidP="00814443">
            <w:pPr>
              <w:spacing w:after="60"/>
              <w:jc w:val="center"/>
              <w:rPr>
                <w:sz w:val="20"/>
                <w:szCs w:val="20"/>
              </w:rPr>
            </w:pPr>
          </w:p>
        </w:tc>
        <w:tc>
          <w:tcPr>
            <w:tcW w:w="1817" w:type="dxa"/>
            <w:shd w:val="clear" w:color="auto" w:fill="F2DBDB"/>
          </w:tcPr>
          <w:p w:rsidR="004D1D2D" w:rsidRPr="001D08C5" w:rsidRDefault="004D1D2D" w:rsidP="00814443">
            <w:pPr>
              <w:spacing w:after="60"/>
              <w:rPr>
                <w:sz w:val="20"/>
                <w:szCs w:val="20"/>
              </w:rPr>
            </w:pPr>
            <w:r>
              <w:rPr>
                <w:sz w:val="20"/>
                <w:szCs w:val="20"/>
              </w:rPr>
              <w:t>Develop Privacy Profiles</w:t>
            </w:r>
          </w:p>
        </w:tc>
        <w:tc>
          <w:tcPr>
            <w:tcW w:w="1333" w:type="dxa"/>
            <w:shd w:val="clear" w:color="auto" w:fill="F2DBDB"/>
          </w:tcPr>
          <w:p w:rsidR="004D1D2D" w:rsidRPr="001D08C5" w:rsidRDefault="003807B1" w:rsidP="00814443">
            <w:pPr>
              <w:spacing w:after="60"/>
              <w:rPr>
                <w:sz w:val="20"/>
                <w:szCs w:val="20"/>
              </w:rPr>
            </w:pPr>
            <w:r>
              <w:rPr>
                <w:sz w:val="20"/>
                <w:szCs w:val="20"/>
              </w:rPr>
              <w:t>NIEM PMO</w:t>
            </w:r>
            <w:r w:rsidR="0088791F">
              <w:rPr>
                <w:sz w:val="20"/>
                <w:szCs w:val="20"/>
              </w:rPr>
              <w:t>, GSC,</w:t>
            </w:r>
            <w:r w:rsidR="004D1D2D">
              <w:rPr>
                <w:sz w:val="20"/>
                <w:szCs w:val="20"/>
              </w:rPr>
              <w:t xml:space="preserve"> and OMG</w:t>
            </w:r>
          </w:p>
        </w:tc>
        <w:tc>
          <w:tcPr>
            <w:tcW w:w="5058" w:type="dxa"/>
            <w:shd w:val="clear" w:color="auto" w:fill="F2DBDB"/>
          </w:tcPr>
          <w:p w:rsidR="004D1D2D" w:rsidRPr="0001584B" w:rsidRDefault="0084362A" w:rsidP="000A19BC">
            <w:pPr>
              <w:numPr>
                <w:ilvl w:val="0"/>
                <w:numId w:val="14"/>
              </w:numPr>
              <w:spacing w:after="60"/>
              <w:ind w:left="162" w:hanging="162"/>
              <w:rPr>
                <w:bCs/>
                <w:sz w:val="20"/>
              </w:rPr>
            </w:pPr>
            <w:r>
              <w:rPr>
                <w:bCs/>
                <w:sz w:val="20"/>
              </w:rPr>
              <w:t>Leveraging the privacy rule d</w:t>
            </w:r>
            <w:r w:rsidR="004D1D2D">
              <w:rPr>
                <w:bCs/>
                <w:sz w:val="20"/>
              </w:rPr>
              <w:t>ictionary, work with OMG to develop additional profiles to support privacy policy management and automation</w:t>
            </w:r>
          </w:p>
        </w:tc>
      </w:tr>
      <w:tr w:rsidR="004D1D2D" w:rsidRPr="001D08C5" w:rsidTr="00C65E41">
        <w:trPr>
          <w:jc w:val="center"/>
        </w:trPr>
        <w:tc>
          <w:tcPr>
            <w:tcW w:w="1368" w:type="dxa"/>
            <w:vMerge/>
            <w:shd w:val="clear" w:color="auto" w:fill="F2DBDB"/>
            <w:vAlign w:val="center"/>
          </w:tcPr>
          <w:p w:rsidR="004D1D2D" w:rsidRDefault="004D1D2D" w:rsidP="00814443">
            <w:pPr>
              <w:spacing w:after="60"/>
              <w:jc w:val="center"/>
              <w:rPr>
                <w:sz w:val="20"/>
                <w:szCs w:val="20"/>
              </w:rPr>
            </w:pPr>
          </w:p>
        </w:tc>
        <w:tc>
          <w:tcPr>
            <w:tcW w:w="1817" w:type="dxa"/>
            <w:shd w:val="clear" w:color="auto" w:fill="F2DBDB"/>
          </w:tcPr>
          <w:p w:rsidR="004D1D2D" w:rsidRPr="001D08C5" w:rsidRDefault="004D1D2D" w:rsidP="00814443">
            <w:pPr>
              <w:spacing w:after="60"/>
              <w:rPr>
                <w:sz w:val="20"/>
                <w:szCs w:val="20"/>
              </w:rPr>
            </w:pPr>
            <w:r>
              <w:rPr>
                <w:sz w:val="20"/>
                <w:szCs w:val="20"/>
              </w:rPr>
              <w:t>Incorporate Security and Privacy Tagging within NIEM</w:t>
            </w:r>
          </w:p>
        </w:tc>
        <w:tc>
          <w:tcPr>
            <w:tcW w:w="1333" w:type="dxa"/>
            <w:shd w:val="clear" w:color="auto" w:fill="F2DBDB"/>
          </w:tcPr>
          <w:p w:rsidR="004D1D2D" w:rsidRPr="001D08C5" w:rsidRDefault="003807B1" w:rsidP="00814443">
            <w:pPr>
              <w:spacing w:after="60"/>
              <w:rPr>
                <w:sz w:val="20"/>
                <w:szCs w:val="20"/>
              </w:rPr>
            </w:pPr>
            <w:r>
              <w:rPr>
                <w:sz w:val="20"/>
                <w:szCs w:val="20"/>
              </w:rPr>
              <w:t>NIEM PMO</w:t>
            </w:r>
            <w:r w:rsidR="00876D58">
              <w:rPr>
                <w:sz w:val="20"/>
                <w:szCs w:val="20"/>
              </w:rPr>
              <w:t>, GSC</w:t>
            </w:r>
          </w:p>
        </w:tc>
        <w:tc>
          <w:tcPr>
            <w:tcW w:w="5058" w:type="dxa"/>
            <w:shd w:val="clear" w:color="auto" w:fill="F2DBDB"/>
          </w:tcPr>
          <w:p w:rsidR="004D1D2D" w:rsidRDefault="004D1D2D" w:rsidP="000A19BC">
            <w:pPr>
              <w:numPr>
                <w:ilvl w:val="0"/>
                <w:numId w:val="14"/>
              </w:numPr>
              <w:spacing w:after="60"/>
              <w:ind w:left="162" w:hanging="162"/>
              <w:rPr>
                <w:bCs/>
                <w:sz w:val="20"/>
              </w:rPr>
            </w:pPr>
            <w:r>
              <w:rPr>
                <w:bCs/>
                <w:sz w:val="20"/>
              </w:rPr>
              <w:t>E</w:t>
            </w:r>
            <w:r w:rsidRPr="00EF065C">
              <w:rPr>
                <w:bCs/>
                <w:sz w:val="20"/>
              </w:rPr>
              <w:t xml:space="preserve">xplore opportunities </w:t>
            </w:r>
            <w:r w:rsidR="003807B1">
              <w:rPr>
                <w:bCs/>
                <w:sz w:val="20"/>
              </w:rPr>
              <w:t xml:space="preserve">with NIEM PMO </w:t>
            </w:r>
            <w:r w:rsidRPr="00EF065C">
              <w:rPr>
                <w:bCs/>
                <w:sz w:val="20"/>
              </w:rPr>
              <w:t>to conduct a pilot to do</w:t>
            </w:r>
            <w:r>
              <w:rPr>
                <w:b/>
                <w:bCs/>
                <w:sz w:val="20"/>
              </w:rPr>
              <w:t xml:space="preserve"> </w:t>
            </w:r>
            <w:r w:rsidRPr="006067CE">
              <w:rPr>
                <w:bCs/>
                <w:sz w:val="20"/>
              </w:rPr>
              <w:t>security, privacy and classification tagging within NIEM</w:t>
            </w:r>
          </w:p>
          <w:p w:rsidR="004D1D2D" w:rsidRDefault="004D1D2D" w:rsidP="000A19BC">
            <w:pPr>
              <w:numPr>
                <w:ilvl w:val="1"/>
                <w:numId w:val="19"/>
              </w:numPr>
              <w:spacing w:after="60"/>
              <w:ind w:left="968" w:hanging="248"/>
              <w:rPr>
                <w:bCs/>
                <w:sz w:val="20"/>
              </w:rPr>
            </w:pPr>
            <w:r>
              <w:rPr>
                <w:bCs/>
                <w:sz w:val="20"/>
              </w:rPr>
              <w:t xml:space="preserve">Tie to </w:t>
            </w:r>
            <w:r w:rsidR="0084362A">
              <w:rPr>
                <w:bCs/>
                <w:sz w:val="20"/>
              </w:rPr>
              <w:t>DoD and IC Information Security Markings (IC-</w:t>
            </w:r>
            <w:r w:rsidRPr="006067CE">
              <w:rPr>
                <w:bCs/>
                <w:sz w:val="20"/>
              </w:rPr>
              <w:t>ISM</w:t>
            </w:r>
            <w:r w:rsidR="0084362A">
              <w:rPr>
                <w:bCs/>
                <w:sz w:val="20"/>
              </w:rPr>
              <w:t>)</w:t>
            </w:r>
            <w:r>
              <w:rPr>
                <w:bCs/>
                <w:sz w:val="20"/>
              </w:rPr>
              <w:t xml:space="preserve"> activities</w:t>
            </w:r>
          </w:p>
        </w:tc>
      </w:tr>
    </w:tbl>
    <w:p w:rsidR="00E62C01" w:rsidRDefault="00BC5429" w:rsidP="006067CE">
      <w:pPr>
        <w:pStyle w:val="Heading1"/>
      </w:pPr>
      <w:r>
        <w:t xml:space="preserve">Integrating </w:t>
      </w:r>
      <w:r w:rsidR="00E62C01">
        <w:t>Geospatial</w:t>
      </w:r>
      <w:r>
        <w:t xml:space="preserve"> into the ISE</w:t>
      </w:r>
    </w:p>
    <w:p w:rsidR="00914EF1" w:rsidRPr="00914EF1" w:rsidRDefault="00914EF1" w:rsidP="00914EF1">
      <w:r>
        <w:t xml:space="preserve">ISE partners are relying more broadly on geospatial standards and technologies to collect and analyze situational awareness data.  Appropriate governance structures are necessary to coordinate policies, processes, governance and standards for geospatial activities.  Requirements need to be identified for accessing geospatial data across jurisdictional boundaries.  </w:t>
      </w:r>
      <w:r w:rsidR="00BC5429">
        <w:t>Incorporating geospatial data elements into existing exchanges can provide added business value.</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01584B" w:rsidRPr="001D08C5" w:rsidTr="00E354F2">
        <w:trPr>
          <w:jc w:val="center"/>
        </w:trPr>
        <w:tc>
          <w:tcPr>
            <w:tcW w:w="9914" w:type="dxa"/>
            <w:gridSpan w:val="2"/>
            <w:shd w:val="clear" w:color="auto" w:fill="632423"/>
          </w:tcPr>
          <w:p w:rsidR="0001584B" w:rsidRPr="001D08C5" w:rsidRDefault="0001584B" w:rsidP="005D6001">
            <w:pPr>
              <w:spacing w:after="60"/>
              <w:rPr>
                <w:b/>
                <w:sz w:val="20"/>
                <w:szCs w:val="20"/>
              </w:rPr>
            </w:pPr>
            <w:r w:rsidRPr="001D08C5">
              <w:rPr>
                <w:b/>
                <w:sz w:val="20"/>
                <w:szCs w:val="20"/>
              </w:rPr>
              <w:t>Category Overview</w:t>
            </w:r>
          </w:p>
        </w:tc>
      </w:tr>
      <w:tr w:rsidR="0001584B" w:rsidRPr="001D08C5" w:rsidTr="00E354F2">
        <w:trPr>
          <w:jc w:val="center"/>
        </w:trPr>
        <w:tc>
          <w:tcPr>
            <w:tcW w:w="1975" w:type="dxa"/>
            <w:shd w:val="clear" w:color="auto" w:fill="632423"/>
          </w:tcPr>
          <w:p w:rsidR="0001584B" w:rsidRPr="001D08C5" w:rsidRDefault="0001584B" w:rsidP="005D6001">
            <w:pPr>
              <w:spacing w:after="60"/>
              <w:rPr>
                <w:b/>
                <w:bCs/>
                <w:sz w:val="20"/>
                <w:szCs w:val="20"/>
              </w:rPr>
            </w:pPr>
            <w:r w:rsidRPr="001D08C5">
              <w:rPr>
                <w:b/>
                <w:bCs/>
                <w:sz w:val="20"/>
                <w:szCs w:val="20"/>
              </w:rPr>
              <w:t>Business Value</w:t>
            </w:r>
          </w:p>
        </w:tc>
        <w:tc>
          <w:tcPr>
            <w:tcW w:w="7939" w:type="dxa"/>
            <w:shd w:val="clear" w:color="auto" w:fill="F2DBDB"/>
          </w:tcPr>
          <w:p w:rsidR="0001584B" w:rsidRPr="000A19BC" w:rsidRDefault="00914EF1" w:rsidP="005D6001">
            <w:pPr>
              <w:numPr>
                <w:ilvl w:val="0"/>
                <w:numId w:val="14"/>
              </w:numPr>
              <w:spacing w:after="60"/>
              <w:ind w:left="162" w:hanging="162"/>
              <w:rPr>
                <w:bCs/>
                <w:sz w:val="20"/>
              </w:rPr>
            </w:pPr>
            <w:r w:rsidRPr="000A19BC">
              <w:rPr>
                <w:bCs/>
                <w:sz w:val="20"/>
              </w:rPr>
              <w:t>Coordinated approach to how government and private sector apply geospatial principles and share information</w:t>
            </w:r>
          </w:p>
          <w:p w:rsidR="00914EF1" w:rsidRPr="001D08C5" w:rsidRDefault="0084362A" w:rsidP="005D6001">
            <w:pPr>
              <w:numPr>
                <w:ilvl w:val="0"/>
                <w:numId w:val="14"/>
              </w:numPr>
              <w:spacing w:after="60"/>
              <w:ind w:left="162" w:hanging="162"/>
              <w:rPr>
                <w:sz w:val="20"/>
                <w:szCs w:val="20"/>
              </w:rPr>
            </w:pPr>
            <w:r>
              <w:rPr>
                <w:bCs/>
                <w:sz w:val="20"/>
              </w:rPr>
              <w:t>I</w:t>
            </w:r>
            <w:r w:rsidR="00914EF1" w:rsidRPr="000A19BC">
              <w:rPr>
                <w:bCs/>
                <w:sz w:val="20"/>
              </w:rPr>
              <w:t xml:space="preserve">ntegrated forum for decision makers and mission stakeholders </w:t>
            </w:r>
            <w:r>
              <w:rPr>
                <w:bCs/>
                <w:sz w:val="20"/>
              </w:rPr>
              <w:t xml:space="preserve">to </w:t>
            </w:r>
            <w:r w:rsidR="00914EF1" w:rsidRPr="000A19BC">
              <w:rPr>
                <w:bCs/>
                <w:sz w:val="20"/>
              </w:rPr>
              <w:t>coordinate management activities and to share resources</w:t>
            </w:r>
          </w:p>
        </w:tc>
      </w:tr>
      <w:tr w:rsidR="0001584B" w:rsidRPr="001D08C5" w:rsidTr="00E354F2">
        <w:trPr>
          <w:jc w:val="center"/>
        </w:trPr>
        <w:tc>
          <w:tcPr>
            <w:tcW w:w="1975" w:type="dxa"/>
            <w:shd w:val="clear" w:color="auto" w:fill="632423"/>
          </w:tcPr>
          <w:p w:rsidR="0001584B" w:rsidRPr="001D08C5" w:rsidRDefault="0001584B" w:rsidP="005D6001">
            <w:pPr>
              <w:spacing w:after="60"/>
              <w:rPr>
                <w:b/>
                <w:bCs/>
                <w:sz w:val="20"/>
                <w:szCs w:val="20"/>
              </w:rPr>
            </w:pPr>
            <w:r w:rsidRPr="001D08C5">
              <w:rPr>
                <w:b/>
                <w:bCs/>
                <w:sz w:val="20"/>
                <w:szCs w:val="20"/>
              </w:rPr>
              <w:t>Relevancy to other recommendations</w:t>
            </w:r>
          </w:p>
        </w:tc>
        <w:tc>
          <w:tcPr>
            <w:tcW w:w="7939" w:type="dxa"/>
            <w:shd w:val="clear" w:color="auto" w:fill="F2DBDB"/>
          </w:tcPr>
          <w:p w:rsidR="0001584B" w:rsidRDefault="0001584B" w:rsidP="000A19BC">
            <w:pPr>
              <w:numPr>
                <w:ilvl w:val="0"/>
                <w:numId w:val="14"/>
              </w:numPr>
              <w:spacing w:after="60"/>
              <w:ind w:left="162" w:hanging="162"/>
              <w:rPr>
                <w:bCs/>
                <w:sz w:val="20"/>
              </w:rPr>
            </w:pPr>
            <w:r>
              <w:rPr>
                <w:bCs/>
                <w:sz w:val="20"/>
              </w:rPr>
              <w:t>Align to UCore 3.0 implementation and convergence of NIEM and UCore</w:t>
            </w:r>
          </w:p>
        </w:tc>
      </w:tr>
    </w:tbl>
    <w:p w:rsidR="0001584B" w:rsidRDefault="0001584B" w:rsidP="0001584B"/>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01584B" w:rsidRPr="001D08C5" w:rsidTr="00C65E41">
        <w:trPr>
          <w:tblHeader/>
          <w:jc w:val="center"/>
        </w:trPr>
        <w:tc>
          <w:tcPr>
            <w:tcW w:w="9576" w:type="dxa"/>
            <w:gridSpan w:val="4"/>
            <w:shd w:val="clear" w:color="auto" w:fill="632423"/>
          </w:tcPr>
          <w:p w:rsidR="0001584B" w:rsidRPr="001D08C5" w:rsidRDefault="0001584B" w:rsidP="005D6001">
            <w:pPr>
              <w:spacing w:after="60"/>
              <w:rPr>
                <w:b/>
                <w:sz w:val="20"/>
                <w:szCs w:val="20"/>
              </w:rPr>
            </w:pPr>
            <w:r>
              <w:rPr>
                <w:b/>
                <w:sz w:val="20"/>
                <w:szCs w:val="20"/>
              </w:rPr>
              <w:t>Action Item Overview</w:t>
            </w:r>
          </w:p>
        </w:tc>
      </w:tr>
      <w:tr w:rsidR="0001584B" w:rsidRPr="001D08C5" w:rsidTr="00C65E41">
        <w:trPr>
          <w:trHeight w:val="610"/>
          <w:tblHeader/>
          <w:jc w:val="center"/>
        </w:trPr>
        <w:tc>
          <w:tcPr>
            <w:tcW w:w="3185" w:type="dxa"/>
            <w:gridSpan w:val="2"/>
            <w:shd w:val="clear" w:color="auto" w:fill="632423"/>
            <w:vAlign w:val="center"/>
          </w:tcPr>
          <w:p w:rsidR="0001584B" w:rsidRPr="001D08C5" w:rsidRDefault="0001584B" w:rsidP="005D6001">
            <w:pPr>
              <w:spacing w:after="60"/>
              <w:jc w:val="center"/>
              <w:rPr>
                <w:b/>
                <w:sz w:val="20"/>
                <w:szCs w:val="20"/>
              </w:rPr>
            </w:pPr>
            <w:r w:rsidRPr="001D08C5">
              <w:rPr>
                <w:b/>
                <w:sz w:val="20"/>
                <w:szCs w:val="20"/>
              </w:rPr>
              <w:t>Action</w:t>
            </w:r>
          </w:p>
        </w:tc>
        <w:tc>
          <w:tcPr>
            <w:tcW w:w="1333" w:type="dxa"/>
            <w:shd w:val="clear" w:color="auto" w:fill="632423"/>
            <w:vAlign w:val="center"/>
          </w:tcPr>
          <w:p w:rsidR="0001584B" w:rsidRPr="001D08C5" w:rsidRDefault="00876D58" w:rsidP="005D6001">
            <w:pPr>
              <w:spacing w:after="60"/>
              <w:jc w:val="center"/>
              <w:rPr>
                <w:b/>
                <w:sz w:val="20"/>
                <w:szCs w:val="20"/>
              </w:rPr>
            </w:pPr>
            <w:r>
              <w:rPr>
                <w:b/>
                <w:sz w:val="20"/>
                <w:szCs w:val="20"/>
              </w:rPr>
              <w:t xml:space="preserve">SCC </w:t>
            </w:r>
            <w:r w:rsidR="0001584B" w:rsidRPr="001D08C5">
              <w:rPr>
                <w:b/>
                <w:sz w:val="20"/>
                <w:szCs w:val="20"/>
              </w:rPr>
              <w:t>Lead Organization</w:t>
            </w:r>
          </w:p>
        </w:tc>
        <w:tc>
          <w:tcPr>
            <w:tcW w:w="5058" w:type="dxa"/>
            <w:shd w:val="clear" w:color="auto" w:fill="632423"/>
            <w:vAlign w:val="center"/>
          </w:tcPr>
          <w:p w:rsidR="0001584B" w:rsidRPr="001D08C5" w:rsidRDefault="0001584B" w:rsidP="005D6001">
            <w:pPr>
              <w:spacing w:after="60"/>
              <w:jc w:val="center"/>
              <w:rPr>
                <w:b/>
                <w:sz w:val="20"/>
                <w:szCs w:val="20"/>
              </w:rPr>
            </w:pPr>
            <w:r w:rsidRPr="001D08C5">
              <w:rPr>
                <w:b/>
                <w:sz w:val="20"/>
                <w:szCs w:val="20"/>
              </w:rPr>
              <w:t>Description</w:t>
            </w:r>
          </w:p>
        </w:tc>
      </w:tr>
      <w:tr w:rsidR="004D1D2D" w:rsidRPr="001D08C5" w:rsidTr="00C65E41">
        <w:trPr>
          <w:jc w:val="center"/>
        </w:trPr>
        <w:tc>
          <w:tcPr>
            <w:tcW w:w="1368" w:type="dxa"/>
            <w:vMerge w:val="restart"/>
            <w:shd w:val="clear" w:color="auto" w:fill="F2DBDB"/>
            <w:vAlign w:val="center"/>
          </w:tcPr>
          <w:p w:rsidR="004D1D2D" w:rsidRPr="00F45EF0" w:rsidRDefault="004D1D2D" w:rsidP="005D6001">
            <w:pPr>
              <w:spacing w:after="60"/>
              <w:jc w:val="center"/>
              <w:rPr>
                <w:sz w:val="20"/>
                <w:szCs w:val="20"/>
              </w:rPr>
            </w:pPr>
            <w:r w:rsidRPr="00F45EF0">
              <w:rPr>
                <w:sz w:val="20"/>
                <w:szCs w:val="20"/>
              </w:rPr>
              <w:t>Short-term</w:t>
            </w:r>
          </w:p>
          <w:p w:rsidR="004D1D2D" w:rsidRPr="00F45EF0" w:rsidRDefault="004D1D2D" w:rsidP="005D6001">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4D1D2D" w:rsidRPr="001D08C5" w:rsidRDefault="004D1D2D" w:rsidP="005D6001">
            <w:pPr>
              <w:spacing w:after="60"/>
              <w:rPr>
                <w:sz w:val="20"/>
                <w:szCs w:val="20"/>
              </w:rPr>
            </w:pPr>
            <w:r>
              <w:rPr>
                <w:sz w:val="20"/>
                <w:szCs w:val="20"/>
              </w:rPr>
              <w:t>Conduct Outreach to Geospatial Practitioners</w:t>
            </w:r>
          </w:p>
        </w:tc>
        <w:tc>
          <w:tcPr>
            <w:tcW w:w="1333" w:type="dxa"/>
            <w:shd w:val="clear" w:color="auto" w:fill="F2DBDB"/>
          </w:tcPr>
          <w:p w:rsidR="004D1D2D" w:rsidRPr="001D08C5" w:rsidRDefault="004D1D2D" w:rsidP="005D6001">
            <w:pPr>
              <w:spacing w:after="60"/>
              <w:rPr>
                <w:sz w:val="20"/>
                <w:szCs w:val="20"/>
              </w:rPr>
            </w:pPr>
            <w:r>
              <w:rPr>
                <w:sz w:val="20"/>
                <w:szCs w:val="20"/>
              </w:rPr>
              <w:t>NIEM PMO and OGC</w:t>
            </w:r>
          </w:p>
        </w:tc>
        <w:tc>
          <w:tcPr>
            <w:tcW w:w="5058" w:type="dxa"/>
            <w:shd w:val="clear" w:color="auto" w:fill="F2DBDB"/>
          </w:tcPr>
          <w:p w:rsidR="004D1D2D" w:rsidRPr="0001584B" w:rsidRDefault="004D1D2D" w:rsidP="00E57033">
            <w:pPr>
              <w:numPr>
                <w:ilvl w:val="0"/>
                <w:numId w:val="14"/>
              </w:numPr>
              <w:spacing w:after="60"/>
              <w:ind w:left="162" w:hanging="162"/>
              <w:rPr>
                <w:bCs/>
                <w:sz w:val="20"/>
              </w:rPr>
            </w:pPr>
            <w:r>
              <w:rPr>
                <w:bCs/>
                <w:sz w:val="20"/>
              </w:rPr>
              <w:t>Work</w:t>
            </w:r>
            <w:r w:rsidRPr="00EF065C">
              <w:rPr>
                <w:bCs/>
                <w:sz w:val="20"/>
              </w:rPr>
              <w:t xml:space="preserve"> with OGC to conduct more targeted communications on how to leverage NIEM </w:t>
            </w:r>
            <w:r w:rsidR="00796CA9" w:rsidRPr="00796CA9">
              <w:rPr>
                <w:bCs/>
                <w:sz w:val="20"/>
              </w:rPr>
              <w:t xml:space="preserve">and the framework of internationally adopted open geospatial standards </w:t>
            </w:r>
            <w:r w:rsidR="00E57033">
              <w:rPr>
                <w:bCs/>
                <w:sz w:val="20"/>
              </w:rPr>
              <w:t>for geospatial</w:t>
            </w:r>
            <w:r w:rsidRPr="00EF065C">
              <w:rPr>
                <w:bCs/>
                <w:sz w:val="20"/>
              </w:rPr>
              <w:t xml:space="preserve"> exchanges</w:t>
            </w:r>
            <w:r w:rsidR="00796CA9">
              <w:rPr>
                <w:bCs/>
                <w:sz w:val="20"/>
              </w:rPr>
              <w:t>.</w:t>
            </w:r>
          </w:p>
        </w:tc>
      </w:tr>
      <w:tr w:rsidR="004D1D2D" w:rsidRPr="001D08C5" w:rsidTr="00C65E41">
        <w:trPr>
          <w:jc w:val="center"/>
        </w:trPr>
        <w:tc>
          <w:tcPr>
            <w:tcW w:w="1368" w:type="dxa"/>
            <w:vMerge/>
            <w:shd w:val="clear" w:color="auto" w:fill="F2DBDB"/>
            <w:vAlign w:val="center"/>
          </w:tcPr>
          <w:p w:rsidR="004D1D2D" w:rsidRDefault="004D1D2D" w:rsidP="005D6001">
            <w:pPr>
              <w:spacing w:after="60"/>
              <w:jc w:val="center"/>
              <w:rPr>
                <w:sz w:val="20"/>
                <w:szCs w:val="20"/>
              </w:rPr>
            </w:pPr>
          </w:p>
        </w:tc>
        <w:tc>
          <w:tcPr>
            <w:tcW w:w="1817" w:type="dxa"/>
            <w:shd w:val="clear" w:color="auto" w:fill="F2DBDB"/>
          </w:tcPr>
          <w:p w:rsidR="004D1D2D" w:rsidRDefault="004D1D2D" w:rsidP="005D6001">
            <w:pPr>
              <w:spacing w:after="60"/>
              <w:rPr>
                <w:sz w:val="20"/>
                <w:szCs w:val="20"/>
              </w:rPr>
            </w:pPr>
            <w:r>
              <w:rPr>
                <w:sz w:val="20"/>
                <w:szCs w:val="20"/>
              </w:rPr>
              <w:t>Align Geospatial Governance Structures</w:t>
            </w:r>
          </w:p>
        </w:tc>
        <w:tc>
          <w:tcPr>
            <w:tcW w:w="1333" w:type="dxa"/>
            <w:shd w:val="clear" w:color="auto" w:fill="F2DBDB"/>
          </w:tcPr>
          <w:p w:rsidR="004D1D2D" w:rsidRPr="001D08C5" w:rsidRDefault="008A3A75" w:rsidP="005D6001">
            <w:pPr>
              <w:spacing w:after="60"/>
              <w:rPr>
                <w:sz w:val="20"/>
                <w:szCs w:val="20"/>
              </w:rPr>
            </w:pPr>
            <w:r>
              <w:rPr>
                <w:sz w:val="20"/>
                <w:szCs w:val="20"/>
              </w:rPr>
              <w:t xml:space="preserve">DHS and </w:t>
            </w:r>
            <w:r w:rsidR="004D1D2D">
              <w:rPr>
                <w:sz w:val="20"/>
                <w:szCs w:val="20"/>
              </w:rPr>
              <w:t>PM-ISE</w:t>
            </w:r>
          </w:p>
        </w:tc>
        <w:tc>
          <w:tcPr>
            <w:tcW w:w="5058" w:type="dxa"/>
            <w:shd w:val="clear" w:color="auto" w:fill="F2DBDB"/>
          </w:tcPr>
          <w:p w:rsidR="004D1D2D" w:rsidRDefault="004D1D2D" w:rsidP="000A19BC">
            <w:pPr>
              <w:numPr>
                <w:ilvl w:val="0"/>
                <w:numId w:val="14"/>
              </w:numPr>
              <w:spacing w:after="60"/>
              <w:ind w:left="162" w:hanging="162"/>
              <w:rPr>
                <w:bCs/>
                <w:sz w:val="20"/>
              </w:rPr>
            </w:pPr>
            <w:r>
              <w:rPr>
                <w:bCs/>
                <w:sz w:val="20"/>
              </w:rPr>
              <w:t>Assess current objectives and activities of geospatial governance structures</w:t>
            </w:r>
            <w:r w:rsidR="00D1086C">
              <w:rPr>
                <w:bCs/>
                <w:sz w:val="20"/>
              </w:rPr>
              <w:t xml:space="preserve"> and standards</w:t>
            </w:r>
            <w:r>
              <w:rPr>
                <w:bCs/>
                <w:sz w:val="20"/>
              </w:rPr>
              <w:t xml:space="preserve"> and make recommendations for alignment</w:t>
            </w:r>
          </w:p>
          <w:p w:rsidR="00E73723" w:rsidRDefault="00E73723" w:rsidP="000A19BC">
            <w:pPr>
              <w:numPr>
                <w:ilvl w:val="0"/>
                <w:numId w:val="14"/>
              </w:numPr>
              <w:spacing w:after="60"/>
              <w:ind w:left="162" w:hanging="162"/>
              <w:rPr>
                <w:bCs/>
                <w:sz w:val="20"/>
              </w:rPr>
            </w:pPr>
            <w:r>
              <w:rPr>
                <w:bCs/>
                <w:sz w:val="20"/>
              </w:rPr>
              <w:t>Establish a mutually agreed upon geospatial policy memorandum with Federal geospatial communities</w:t>
            </w:r>
          </w:p>
          <w:p w:rsidR="002815A9" w:rsidRDefault="002815A9" w:rsidP="000A19BC">
            <w:pPr>
              <w:numPr>
                <w:ilvl w:val="0"/>
                <w:numId w:val="14"/>
              </w:numPr>
              <w:spacing w:after="60"/>
              <w:ind w:left="162" w:hanging="162"/>
              <w:rPr>
                <w:bCs/>
                <w:sz w:val="20"/>
              </w:rPr>
            </w:pPr>
            <w:r>
              <w:rPr>
                <w:bCs/>
                <w:sz w:val="20"/>
              </w:rPr>
              <w:t>Coordinate geospatial communities via state, local and tribal outreach and governance bodies</w:t>
            </w:r>
          </w:p>
          <w:p w:rsidR="00D1086C" w:rsidRDefault="00D1086C" w:rsidP="000A19BC">
            <w:pPr>
              <w:numPr>
                <w:ilvl w:val="0"/>
                <w:numId w:val="14"/>
              </w:numPr>
              <w:spacing w:after="60"/>
              <w:ind w:left="162" w:hanging="162"/>
              <w:rPr>
                <w:bCs/>
                <w:sz w:val="20"/>
              </w:rPr>
            </w:pPr>
            <w:r>
              <w:rPr>
                <w:bCs/>
                <w:sz w:val="20"/>
              </w:rPr>
              <w:t xml:space="preserve">Leverage the recently created US </w:t>
            </w:r>
            <w:r w:rsidRPr="00D1086C">
              <w:rPr>
                <w:bCs/>
                <w:sz w:val="20"/>
              </w:rPr>
              <w:t>Federal Geographic Data Committee</w:t>
            </w:r>
            <w:r>
              <w:rPr>
                <w:bCs/>
                <w:sz w:val="20"/>
              </w:rPr>
              <w:t>.</w:t>
            </w:r>
          </w:p>
        </w:tc>
      </w:tr>
      <w:tr w:rsidR="006E7ED0" w:rsidRPr="001D08C5" w:rsidTr="00C65E41">
        <w:trPr>
          <w:jc w:val="center"/>
        </w:trPr>
        <w:tc>
          <w:tcPr>
            <w:tcW w:w="1368" w:type="dxa"/>
            <w:vMerge w:val="restart"/>
            <w:shd w:val="clear" w:color="auto" w:fill="F2DBDB"/>
            <w:vAlign w:val="center"/>
          </w:tcPr>
          <w:p w:rsidR="006E7ED0" w:rsidRPr="00F45EF0" w:rsidRDefault="006E7ED0" w:rsidP="005D6001">
            <w:pPr>
              <w:spacing w:after="60"/>
              <w:jc w:val="center"/>
              <w:rPr>
                <w:sz w:val="20"/>
                <w:szCs w:val="20"/>
              </w:rPr>
            </w:pPr>
            <w:r>
              <w:rPr>
                <w:sz w:val="20"/>
                <w:szCs w:val="20"/>
              </w:rPr>
              <w:t>Long</w:t>
            </w:r>
            <w:r w:rsidRPr="00F45EF0">
              <w:rPr>
                <w:sz w:val="20"/>
                <w:szCs w:val="20"/>
              </w:rPr>
              <w:t>-term</w:t>
            </w:r>
          </w:p>
          <w:p w:rsidR="006E7ED0" w:rsidRPr="00F45EF0" w:rsidRDefault="006E7ED0" w:rsidP="005D6001">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6E7ED0" w:rsidRPr="001D08C5" w:rsidRDefault="006E7ED0" w:rsidP="005D6001">
            <w:pPr>
              <w:spacing w:after="60"/>
              <w:rPr>
                <w:sz w:val="20"/>
                <w:szCs w:val="20"/>
              </w:rPr>
            </w:pPr>
            <w:r>
              <w:rPr>
                <w:sz w:val="20"/>
                <w:szCs w:val="20"/>
              </w:rPr>
              <w:t>Incorporate Visualization Metadata into NIEM</w:t>
            </w:r>
          </w:p>
        </w:tc>
        <w:tc>
          <w:tcPr>
            <w:tcW w:w="1333" w:type="dxa"/>
            <w:shd w:val="clear" w:color="auto" w:fill="F2DBDB"/>
          </w:tcPr>
          <w:p w:rsidR="006E7ED0" w:rsidRPr="001D08C5" w:rsidRDefault="006E7ED0" w:rsidP="004C79B2">
            <w:pPr>
              <w:spacing w:after="60"/>
              <w:rPr>
                <w:sz w:val="20"/>
                <w:szCs w:val="20"/>
              </w:rPr>
            </w:pPr>
            <w:r>
              <w:rPr>
                <w:sz w:val="20"/>
                <w:szCs w:val="20"/>
              </w:rPr>
              <w:t>NIEM PMO</w:t>
            </w:r>
            <w:r w:rsidR="004C79B2">
              <w:rPr>
                <w:sz w:val="20"/>
                <w:szCs w:val="20"/>
              </w:rPr>
              <w:t>, OGC</w:t>
            </w:r>
          </w:p>
        </w:tc>
        <w:tc>
          <w:tcPr>
            <w:tcW w:w="5058" w:type="dxa"/>
            <w:shd w:val="clear" w:color="auto" w:fill="F2DBDB"/>
          </w:tcPr>
          <w:p w:rsidR="006E7ED0" w:rsidRPr="0001584B" w:rsidRDefault="006E7ED0" w:rsidP="000A19BC">
            <w:pPr>
              <w:numPr>
                <w:ilvl w:val="0"/>
                <w:numId w:val="14"/>
              </w:numPr>
              <w:spacing w:after="60"/>
              <w:ind w:left="162" w:hanging="162"/>
              <w:rPr>
                <w:bCs/>
                <w:sz w:val="20"/>
              </w:rPr>
            </w:pPr>
            <w:r>
              <w:rPr>
                <w:bCs/>
                <w:sz w:val="20"/>
              </w:rPr>
              <w:t>W</w:t>
            </w:r>
            <w:r w:rsidRPr="00EF065C">
              <w:rPr>
                <w:bCs/>
                <w:sz w:val="20"/>
              </w:rPr>
              <w:t>ork with DHS Geospatial office</w:t>
            </w:r>
            <w:r w:rsidR="00D1086C">
              <w:rPr>
                <w:bCs/>
                <w:sz w:val="20"/>
              </w:rPr>
              <w:t xml:space="preserve"> and OGC</w:t>
            </w:r>
            <w:r w:rsidRPr="00EF065C">
              <w:rPr>
                <w:bCs/>
                <w:sz w:val="20"/>
              </w:rPr>
              <w:t xml:space="preserve"> to tie in visualization metadata into NIEM</w:t>
            </w:r>
            <w:r>
              <w:rPr>
                <w:bCs/>
                <w:sz w:val="20"/>
              </w:rPr>
              <w:t xml:space="preserve"> and to align to broader DHS Geospatial Concept of Operations</w:t>
            </w:r>
          </w:p>
        </w:tc>
      </w:tr>
      <w:tr w:rsidR="006E7ED0" w:rsidRPr="001D08C5" w:rsidTr="00C65E41">
        <w:trPr>
          <w:jc w:val="center"/>
        </w:trPr>
        <w:tc>
          <w:tcPr>
            <w:tcW w:w="1368" w:type="dxa"/>
            <w:vMerge/>
            <w:shd w:val="clear" w:color="auto" w:fill="F2DBDB"/>
            <w:vAlign w:val="center"/>
          </w:tcPr>
          <w:p w:rsidR="006E7ED0" w:rsidRDefault="006E7ED0" w:rsidP="005D6001">
            <w:pPr>
              <w:spacing w:after="60"/>
              <w:jc w:val="center"/>
              <w:rPr>
                <w:sz w:val="20"/>
                <w:szCs w:val="20"/>
              </w:rPr>
            </w:pPr>
          </w:p>
        </w:tc>
        <w:tc>
          <w:tcPr>
            <w:tcW w:w="1817" w:type="dxa"/>
            <w:shd w:val="clear" w:color="auto" w:fill="F2DBDB"/>
          </w:tcPr>
          <w:p w:rsidR="006E7ED0" w:rsidRPr="001D08C5" w:rsidRDefault="006E7ED0" w:rsidP="00E73723">
            <w:pPr>
              <w:spacing w:after="60"/>
              <w:rPr>
                <w:sz w:val="20"/>
                <w:szCs w:val="20"/>
              </w:rPr>
            </w:pPr>
            <w:r>
              <w:rPr>
                <w:sz w:val="20"/>
                <w:szCs w:val="20"/>
              </w:rPr>
              <w:t xml:space="preserve">Harmonize </w:t>
            </w:r>
            <w:r w:rsidR="00E73723">
              <w:rPr>
                <w:sz w:val="20"/>
                <w:szCs w:val="20"/>
              </w:rPr>
              <w:t>Geospatial Best Practices and Standards</w:t>
            </w:r>
          </w:p>
        </w:tc>
        <w:tc>
          <w:tcPr>
            <w:tcW w:w="1333" w:type="dxa"/>
            <w:shd w:val="clear" w:color="auto" w:fill="F2DBDB"/>
          </w:tcPr>
          <w:p w:rsidR="006E7ED0" w:rsidRPr="001D08C5" w:rsidRDefault="006E7ED0" w:rsidP="005D6001">
            <w:pPr>
              <w:spacing w:after="60"/>
              <w:rPr>
                <w:sz w:val="20"/>
                <w:szCs w:val="20"/>
              </w:rPr>
            </w:pPr>
            <w:r>
              <w:rPr>
                <w:sz w:val="20"/>
                <w:szCs w:val="20"/>
              </w:rPr>
              <w:t>NIEM PMO</w:t>
            </w:r>
            <w:r w:rsidR="004C79B2">
              <w:rPr>
                <w:sz w:val="20"/>
                <w:szCs w:val="20"/>
              </w:rPr>
              <w:t>, OGC</w:t>
            </w:r>
          </w:p>
        </w:tc>
        <w:tc>
          <w:tcPr>
            <w:tcW w:w="5058" w:type="dxa"/>
            <w:shd w:val="clear" w:color="auto" w:fill="F2DBDB"/>
          </w:tcPr>
          <w:p w:rsidR="00E73723" w:rsidRDefault="00E73723" w:rsidP="000A19BC">
            <w:pPr>
              <w:numPr>
                <w:ilvl w:val="0"/>
                <w:numId w:val="14"/>
              </w:numPr>
              <w:spacing w:after="60"/>
              <w:ind w:left="162" w:hanging="162"/>
              <w:rPr>
                <w:bCs/>
                <w:sz w:val="20"/>
              </w:rPr>
            </w:pPr>
            <w:r>
              <w:rPr>
                <w:bCs/>
                <w:sz w:val="20"/>
              </w:rPr>
              <w:t>Assess existing geospatial best practices and draft implementation guidance</w:t>
            </w:r>
          </w:p>
          <w:p w:rsidR="006E7ED0" w:rsidRDefault="006E7ED0" w:rsidP="000A19BC">
            <w:pPr>
              <w:numPr>
                <w:ilvl w:val="0"/>
                <w:numId w:val="14"/>
              </w:numPr>
              <w:spacing w:after="60"/>
              <w:ind w:left="162" w:hanging="162"/>
              <w:rPr>
                <w:bCs/>
                <w:sz w:val="20"/>
              </w:rPr>
            </w:pPr>
            <w:r>
              <w:rPr>
                <w:bCs/>
                <w:sz w:val="20"/>
              </w:rPr>
              <w:t xml:space="preserve">Coordinate with </w:t>
            </w:r>
            <w:r w:rsidRPr="00EF065C">
              <w:rPr>
                <w:bCs/>
                <w:sz w:val="20"/>
              </w:rPr>
              <w:t>DoD and IC communities</w:t>
            </w:r>
            <w:r w:rsidR="00D1086C">
              <w:rPr>
                <w:bCs/>
                <w:sz w:val="20"/>
              </w:rPr>
              <w:t xml:space="preserve"> (Ex: </w:t>
            </w:r>
            <w:r w:rsidR="00D1086C" w:rsidRPr="00D1086C">
              <w:rPr>
                <w:bCs/>
                <w:sz w:val="20"/>
              </w:rPr>
              <w:t>NGA led Geospatial-Intelligence Standards Working Group</w:t>
            </w:r>
            <w:r w:rsidR="00D1086C">
              <w:rPr>
                <w:bCs/>
                <w:sz w:val="20"/>
              </w:rPr>
              <w:t>)</w:t>
            </w:r>
            <w:r w:rsidRPr="00EF065C">
              <w:rPr>
                <w:bCs/>
                <w:sz w:val="20"/>
              </w:rPr>
              <w:t xml:space="preserve"> to harmonize geospatial requirements</w:t>
            </w:r>
          </w:p>
          <w:p w:rsidR="00796CA9" w:rsidRPr="0001584B" w:rsidRDefault="00796CA9" w:rsidP="000A19BC">
            <w:pPr>
              <w:numPr>
                <w:ilvl w:val="0"/>
                <w:numId w:val="14"/>
              </w:numPr>
              <w:spacing w:after="60"/>
              <w:ind w:left="162" w:hanging="162"/>
              <w:rPr>
                <w:bCs/>
                <w:sz w:val="20"/>
              </w:rPr>
            </w:pPr>
            <w:r>
              <w:rPr>
                <w:bCs/>
                <w:sz w:val="20"/>
              </w:rPr>
              <w:t>L</w:t>
            </w:r>
            <w:r w:rsidRPr="00796CA9">
              <w:rPr>
                <w:bCs/>
                <w:sz w:val="20"/>
              </w:rPr>
              <w:t>everage / optimize the existing geospatial standards framework within and in combination with NIEM</w:t>
            </w:r>
          </w:p>
        </w:tc>
      </w:tr>
      <w:tr w:rsidR="006E7ED0" w:rsidRPr="001D08C5" w:rsidTr="00C65E41">
        <w:trPr>
          <w:jc w:val="center"/>
        </w:trPr>
        <w:tc>
          <w:tcPr>
            <w:tcW w:w="1368" w:type="dxa"/>
            <w:vMerge/>
            <w:shd w:val="clear" w:color="auto" w:fill="F2DBDB"/>
            <w:vAlign w:val="center"/>
          </w:tcPr>
          <w:p w:rsidR="006E7ED0" w:rsidRDefault="006E7ED0" w:rsidP="005D6001">
            <w:pPr>
              <w:spacing w:after="60"/>
              <w:jc w:val="center"/>
              <w:rPr>
                <w:sz w:val="20"/>
                <w:szCs w:val="20"/>
              </w:rPr>
            </w:pPr>
          </w:p>
        </w:tc>
        <w:tc>
          <w:tcPr>
            <w:tcW w:w="1817" w:type="dxa"/>
            <w:shd w:val="clear" w:color="auto" w:fill="F2DBDB"/>
          </w:tcPr>
          <w:p w:rsidR="006E7ED0" w:rsidRDefault="006E7ED0" w:rsidP="005D6001">
            <w:pPr>
              <w:spacing w:after="60"/>
              <w:rPr>
                <w:sz w:val="20"/>
                <w:szCs w:val="20"/>
              </w:rPr>
            </w:pPr>
            <w:r>
              <w:rPr>
                <w:sz w:val="20"/>
                <w:szCs w:val="20"/>
              </w:rPr>
              <w:t>Conduct a Geospatial Interoperability Pilot</w:t>
            </w:r>
          </w:p>
        </w:tc>
        <w:tc>
          <w:tcPr>
            <w:tcW w:w="1333" w:type="dxa"/>
            <w:shd w:val="clear" w:color="auto" w:fill="F2DBDB"/>
          </w:tcPr>
          <w:p w:rsidR="006E7ED0" w:rsidRDefault="006E7ED0" w:rsidP="005D6001">
            <w:pPr>
              <w:spacing w:after="60"/>
              <w:rPr>
                <w:sz w:val="20"/>
                <w:szCs w:val="20"/>
              </w:rPr>
            </w:pPr>
            <w:r>
              <w:rPr>
                <w:sz w:val="20"/>
                <w:szCs w:val="20"/>
              </w:rPr>
              <w:t>PM-ISE, NIEM PMO, OGC and GSA</w:t>
            </w:r>
          </w:p>
        </w:tc>
        <w:tc>
          <w:tcPr>
            <w:tcW w:w="5058" w:type="dxa"/>
            <w:shd w:val="clear" w:color="auto" w:fill="F2DBDB"/>
          </w:tcPr>
          <w:p w:rsidR="006E7ED0" w:rsidRDefault="006E7ED0" w:rsidP="000A19BC">
            <w:pPr>
              <w:numPr>
                <w:ilvl w:val="0"/>
                <w:numId w:val="14"/>
              </w:numPr>
              <w:spacing w:after="60"/>
              <w:ind w:left="162" w:hanging="162"/>
              <w:rPr>
                <w:bCs/>
                <w:sz w:val="20"/>
              </w:rPr>
            </w:pPr>
            <w:r>
              <w:rPr>
                <w:bCs/>
                <w:sz w:val="20"/>
              </w:rPr>
              <w:t xml:space="preserve">Launch a pilot that reuses the NIEM UML Profile </w:t>
            </w:r>
            <w:r w:rsidR="00E57033">
              <w:rPr>
                <w:bCs/>
                <w:sz w:val="20"/>
              </w:rPr>
              <w:t xml:space="preserve">and </w:t>
            </w:r>
            <w:r>
              <w:rPr>
                <w:bCs/>
                <w:sz w:val="20"/>
              </w:rPr>
              <w:t>FICAM for attribute-based access controls, and open geospatial standards on the Secure But Unclassified (SBU) fabric</w:t>
            </w:r>
          </w:p>
          <w:p w:rsidR="00796CA9" w:rsidRDefault="00796CA9" w:rsidP="000A19BC">
            <w:pPr>
              <w:numPr>
                <w:ilvl w:val="0"/>
                <w:numId w:val="14"/>
              </w:numPr>
              <w:spacing w:after="60"/>
              <w:ind w:left="162" w:hanging="162"/>
              <w:rPr>
                <w:bCs/>
                <w:sz w:val="20"/>
              </w:rPr>
            </w:pPr>
            <w:r>
              <w:rPr>
                <w:bCs/>
                <w:sz w:val="20"/>
              </w:rPr>
              <w:t xml:space="preserve">Leverage SDO </w:t>
            </w:r>
            <w:r w:rsidR="00922CD2">
              <w:rPr>
                <w:bCs/>
                <w:sz w:val="20"/>
              </w:rPr>
              <w:t>test beds</w:t>
            </w:r>
            <w:r>
              <w:rPr>
                <w:bCs/>
                <w:sz w:val="20"/>
              </w:rPr>
              <w:t xml:space="preserve"> (OGC as an example) to </w:t>
            </w:r>
            <w:r w:rsidRPr="00796CA9">
              <w:rPr>
                <w:bCs/>
                <w:sz w:val="20"/>
              </w:rPr>
              <w:t>directly address geospatial / location standardization requirements</w:t>
            </w:r>
            <w:r>
              <w:rPr>
                <w:bCs/>
                <w:sz w:val="20"/>
              </w:rPr>
              <w:t>.</w:t>
            </w:r>
          </w:p>
          <w:p w:rsidR="00E102E6" w:rsidRDefault="00E102E6" w:rsidP="000A19BC">
            <w:pPr>
              <w:numPr>
                <w:ilvl w:val="0"/>
                <w:numId w:val="14"/>
              </w:numPr>
              <w:spacing w:after="60"/>
              <w:ind w:left="162" w:hanging="162"/>
              <w:rPr>
                <w:bCs/>
                <w:sz w:val="20"/>
              </w:rPr>
            </w:pPr>
            <w:r>
              <w:rPr>
                <w:bCs/>
                <w:sz w:val="20"/>
              </w:rPr>
              <w:t>Demonstrate geospatial secure search, discovery and access to fusion centers, state, local and tribal stakeholders</w:t>
            </w:r>
          </w:p>
          <w:p w:rsidR="00D1086C" w:rsidRDefault="00D1086C" w:rsidP="000A19BC">
            <w:pPr>
              <w:numPr>
                <w:ilvl w:val="0"/>
                <w:numId w:val="14"/>
              </w:numPr>
              <w:spacing w:after="60"/>
              <w:ind w:left="162" w:hanging="162"/>
              <w:rPr>
                <w:bCs/>
                <w:sz w:val="20"/>
              </w:rPr>
            </w:pPr>
            <w:r>
              <w:rPr>
                <w:bCs/>
                <w:sz w:val="20"/>
              </w:rPr>
              <w:t xml:space="preserve">Produce </w:t>
            </w:r>
            <w:r w:rsidRPr="00D1086C">
              <w:rPr>
                <w:bCs/>
                <w:sz w:val="20"/>
              </w:rPr>
              <w:t>an Engineering Report detailing the standards and interoperability best practices that can be scaled for community implementation</w:t>
            </w:r>
          </w:p>
        </w:tc>
      </w:tr>
    </w:tbl>
    <w:p w:rsidR="0001584B" w:rsidRDefault="0001584B" w:rsidP="00E62C01"/>
    <w:p w:rsidR="001040D3" w:rsidRDefault="001040D3" w:rsidP="001040D3">
      <w:pPr>
        <w:pStyle w:val="Heading1"/>
      </w:pPr>
      <w:r>
        <w:t>Procurement and Standard Testing and Certification</w:t>
      </w:r>
    </w:p>
    <w:p w:rsidR="001040D3" w:rsidRDefault="00B11E0E" w:rsidP="001040D3">
      <w:r>
        <w:t xml:space="preserve">Given today’s economic challenges, ISE partners must explore new </w:t>
      </w:r>
      <w:r w:rsidR="00BC5429">
        <w:t xml:space="preserve">operating </w:t>
      </w:r>
      <w:r>
        <w:t xml:space="preserve">models to continue to meet business needs.  </w:t>
      </w:r>
      <w:r w:rsidR="00C11918">
        <w:t>Standards, services</w:t>
      </w:r>
      <w:r w:rsidR="00E57033">
        <w:t>,</w:t>
      </w:r>
      <w:r w:rsidR="00C11918">
        <w:t xml:space="preserve"> and profiles need to be readily available to enhance both their discovery and usability. </w:t>
      </w:r>
      <w:r>
        <w:t xml:space="preserve">ISE partners need to leverage open standards instead of developing new proprietary standards and solutions.  </w:t>
      </w:r>
      <w:r w:rsidR="00C11918">
        <w:t xml:space="preserve">The use of these standards must be mandated in solicitations and grants to drive reuse. </w:t>
      </w:r>
      <w:r w:rsidR="001040D3">
        <w:t xml:space="preserve">A process </w:t>
      </w:r>
      <w:r w:rsidR="00C11918">
        <w:t>is needed to define</w:t>
      </w:r>
      <w:r w:rsidR="007C2A5B">
        <w:t xml:space="preserve"> and </w:t>
      </w:r>
      <w:r w:rsidR="001040D3">
        <w:t xml:space="preserve">enhance the testing, certification, and discovery of standards, profiles, and IEPDs for specific business needs.  </w:t>
      </w:r>
      <w:r w:rsidR="006C3BBF">
        <w:t xml:space="preserve">ISE partners can </w:t>
      </w:r>
      <w:r w:rsidR="00E57033">
        <w:t xml:space="preserve">work </w:t>
      </w:r>
      <w:r w:rsidR="006C3BBF">
        <w:t xml:space="preserve">together </w:t>
      </w:r>
      <w:r w:rsidR="00E57033">
        <w:t xml:space="preserve">to </w:t>
      </w:r>
      <w:r w:rsidR="006C3BBF">
        <w:t>catalyze advances, promote market-based innovation and encourage competitive market outcomes.</w:t>
      </w:r>
    </w:p>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ook w:val="04A0" w:firstRow="1" w:lastRow="0" w:firstColumn="1" w:lastColumn="0" w:noHBand="0" w:noVBand="1"/>
      </w:tblPr>
      <w:tblGrid>
        <w:gridCol w:w="1975"/>
        <w:gridCol w:w="7939"/>
      </w:tblGrid>
      <w:tr w:rsidR="0001584B" w:rsidRPr="001D08C5" w:rsidTr="00E354F2">
        <w:trPr>
          <w:tblHeader/>
          <w:jc w:val="center"/>
        </w:trPr>
        <w:tc>
          <w:tcPr>
            <w:tcW w:w="9914" w:type="dxa"/>
            <w:gridSpan w:val="2"/>
            <w:shd w:val="clear" w:color="auto" w:fill="632423"/>
          </w:tcPr>
          <w:p w:rsidR="0001584B" w:rsidRPr="001D08C5" w:rsidRDefault="0001584B" w:rsidP="005D6001">
            <w:pPr>
              <w:spacing w:after="60"/>
              <w:rPr>
                <w:b/>
                <w:sz w:val="20"/>
                <w:szCs w:val="20"/>
              </w:rPr>
            </w:pPr>
            <w:r w:rsidRPr="001D08C5">
              <w:rPr>
                <w:b/>
                <w:sz w:val="20"/>
                <w:szCs w:val="20"/>
              </w:rPr>
              <w:t>Category Overview</w:t>
            </w:r>
          </w:p>
        </w:tc>
      </w:tr>
      <w:tr w:rsidR="0001584B" w:rsidRPr="001D08C5" w:rsidTr="00E354F2">
        <w:trPr>
          <w:jc w:val="center"/>
        </w:trPr>
        <w:tc>
          <w:tcPr>
            <w:tcW w:w="1975" w:type="dxa"/>
            <w:shd w:val="clear" w:color="auto" w:fill="632423"/>
          </w:tcPr>
          <w:p w:rsidR="0001584B" w:rsidRPr="001D08C5" w:rsidRDefault="0001584B" w:rsidP="005D6001">
            <w:pPr>
              <w:spacing w:after="60"/>
              <w:rPr>
                <w:b/>
                <w:bCs/>
                <w:sz w:val="20"/>
                <w:szCs w:val="20"/>
              </w:rPr>
            </w:pPr>
            <w:r w:rsidRPr="001D08C5">
              <w:rPr>
                <w:b/>
                <w:bCs/>
                <w:sz w:val="20"/>
                <w:szCs w:val="20"/>
              </w:rPr>
              <w:t>Business Value</w:t>
            </w:r>
          </w:p>
        </w:tc>
        <w:tc>
          <w:tcPr>
            <w:tcW w:w="7939" w:type="dxa"/>
            <w:shd w:val="clear" w:color="auto" w:fill="F2DBDB"/>
          </w:tcPr>
          <w:p w:rsidR="0001584B" w:rsidRDefault="00BE6C92" w:rsidP="005D6001">
            <w:pPr>
              <w:numPr>
                <w:ilvl w:val="0"/>
                <w:numId w:val="14"/>
              </w:numPr>
              <w:spacing w:after="60"/>
              <w:ind w:left="162" w:hanging="162"/>
              <w:rPr>
                <w:sz w:val="20"/>
                <w:szCs w:val="20"/>
              </w:rPr>
            </w:pPr>
            <w:r>
              <w:rPr>
                <w:sz w:val="20"/>
                <w:szCs w:val="20"/>
              </w:rPr>
              <w:t>Maximiz</w:t>
            </w:r>
            <w:r w:rsidR="00E57033">
              <w:rPr>
                <w:sz w:val="20"/>
                <w:szCs w:val="20"/>
              </w:rPr>
              <w:t>e</w:t>
            </w:r>
            <w:r>
              <w:rPr>
                <w:sz w:val="20"/>
                <w:szCs w:val="20"/>
              </w:rPr>
              <w:t xml:space="preserve"> the use of funds and resources</w:t>
            </w:r>
          </w:p>
          <w:p w:rsidR="00BE6C92" w:rsidRDefault="00BE6C92" w:rsidP="005D6001">
            <w:pPr>
              <w:numPr>
                <w:ilvl w:val="0"/>
                <w:numId w:val="14"/>
              </w:numPr>
              <w:spacing w:after="60"/>
              <w:ind w:left="162" w:hanging="162"/>
              <w:rPr>
                <w:sz w:val="20"/>
                <w:szCs w:val="20"/>
              </w:rPr>
            </w:pPr>
            <w:r>
              <w:rPr>
                <w:sz w:val="20"/>
                <w:szCs w:val="20"/>
              </w:rPr>
              <w:t>Common operating policies and guidance for a single nation-wide approach to delivering information sharing standards and services</w:t>
            </w:r>
          </w:p>
          <w:p w:rsidR="00BE6C92" w:rsidRDefault="00BE6C92" w:rsidP="005D6001">
            <w:pPr>
              <w:numPr>
                <w:ilvl w:val="0"/>
                <w:numId w:val="14"/>
              </w:numPr>
              <w:spacing w:after="60"/>
              <w:ind w:left="162" w:hanging="162"/>
              <w:rPr>
                <w:sz w:val="20"/>
                <w:szCs w:val="20"/>
              </w:rPr>
            </w:pPr>
            <w:r>
              <w:rPr>
                <w:sz w:val="20"/>
                <w:szCs w:val="20"/>
              </w:rPr>
              <w:t>Lower cost of development and ownership and increased business agility</w:t>
            </w:r>
          </w:p>
          <w:p w:rsidR="00BE6C92" w:rsidRPr="001D08C5" w:rsidRDefault="00BE6C92" w:rsidP="005D6001">
            <w:pPr>
              <w:numPr>
                <w:ilvl w:val="0"/>
                <w:numId w:val="14"/>
              </w:numPr>
              <w:spacing w:after="60"/>
              <w:ind w:left="162" w:hanging="162"/>
              <w:rPr>
                <w:sz w:val="20"/>
                <w:szCs w:val="20"/>
              </w:rPr>
            </w:pPr>
            <w:r>
              <w:rPr>
                <w:sz w:val="20"/>
                <w:szCs w:val="20"/>
              </w:rPr>
              <w:t>Conformance of commercial products to standards to ensure interoperability</w:t>
            </w:r>
          </w:p>
        </w:tc>
      </w:tr>
      <w:tr w:rsidR="0001584B" w:rsidRPr="001D08C5" w:rsidTr="00E354F2">
        <w:trPr>
          <w:jc w:val="center"/>
        </w:trPr>
        <w:tc>
          <w:tcPr>
            <w:tcW w:w="1975" w:type="dxa"/>
            <w:shd w:val="clear" w:color="auto" w:fill="632423"/>
          </w:tcPr>
          <w:p w:rsidR="0001584B" w:rsidRPr="001D08C5" w:rsidRDefault="0001584B" w:rsidP="005D6001">
            <w:pPr>
              <w:spacing w:after="60"/>
              <w:rPr>
                <w:b/>
                <w:bCs/>
                <w:sz w:val="20"/>
                <w:szCs w:val="20"/>
              </w:rPr>
            </w:pPr>
            <w:r w:rsidRPr="001D08C5">
              <w:rPr>
                <w:b/>
                <w:bCs/>
                <w:sz w:val="20"/>
                <w:szCs w:val="20"/>
              </w:rPr>
              <w:t>Relevancy to other recommendations</w:t>
            </w:r>
          </w:p>
        </w:tc>
        <w:tc>
          <w:tcPr>
            <w:tcW w:w="7939" w:type="dxa"/>
            <w:shd w:val="clear" w:color="auto" w:fill="F2DBDB"/>
          </w:tcPr>
          <w:p w:rsidR="0001584B" w:rsidRDefault="005238E1" w:rsidP="000A19BC">
            <w:pPr>
              <w:numPr>
                <w:ilvl w:val="0"/>
                <w:numId w:val="14"/>
              </w:numPr>
              <w:spacing w:after="60"/>
              <w:ind w:left="162" w:hanging="162"/>
              <w:rPr>
                <w:bCs/>
                <w:sz w:val="20"/>
              </w:rPr>
            </w:pPr>
            <w:r>
              <w:rPr>
                <w:bCs/>
                <w:sz w:val="20"/>
              </w:rPr>
              <w:t>Clarity in standards activities and a coherent  interoperability framework will facilitate the development of procurement and grant guidance and testing and certification of standards and tools</w:t>
            </w:r>
          </w:p>
        </w:tc>
      </w:tr>
    </w:tbl>
    <w:p w:rsidR="0001584B" w:rsidRDefault="0001584B" w:rsidP="0001584B"/>
    <w:tbl>
      <w:tblPr>
        <w:tblW w:w="4500" w:type="pct"/>
        <w:jc w:val="center"/>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1416"/>
        <w:gridCol w:w="1881"/>
        <w:gridCol w:w="1380"/>
        <w:gridCol w:w="5237"/>
      </w:tblGrid>
      <w:tr w:rsidR="0001584B" w:rsidRPr="001D08C5" w:rsidTr="00C65E41">
        <w:trPr>
          <w:tblHeader/>
          <w:jc w:val="center"/>
        </w:trPr>
        <w:tc>
          <w:tcPr>
            <w:tcW w:w="9576" w:type="dxa"/>
            <w:gridSpan w:val="4"/>
            <w:shd w:val="clear" w:color="auto" w:fill="632423"/>
          </w:tcPr>
          <w:p w:rsidR="0001584B" w:rsidRPr="001D08C5" w:rsidRDefault="0001584B" w:rsidP="005D6001">
            <w:pPr>
              <w:spacing w:after="60"/>
              <w:rPr>
                <w:b/>
                <w:sz w:val="20"/>
                <w:szCs w:val="20"/>
              </w:rPr>
            </w:pPr>
            <w:r>
              <w:rPr>
                <w:b/>
                <w:sz w:val="20"/>
                <w:szCs w:val="20"/>
              </w:rPr>
              <w:t>Action Item Overview</w:t>
            </w:r>
          </w:p>
        </w:tc>
      </w:tr>
      <w:tr w:rsidR="0001584B" w:rsidRPr="001D08C5" w:rsidTr="00C65E41">
        <w:trPr>
          <w:trHeight w:val="610"/>
          <w:tblHeader/>
          <w:jc w:val="center"/>
        </w:trPr>
        <w:tc>
          <w:tcPr>
            <w:tcW w:w="3185" w:type="dxa"/>
            <w:gridSpan w:val="2"/>
            <w:shd w:val="clear" w:color="auto" w:fill="632423"/>
            <w:vAlign w:val="center"/>
          </w:tcPr>
          <w:p w:rsidR="0001584B" w:rsidRPr="001D08C5" w:rsidRDefault="0001584B" w:rsidP="005D6001">
            <w:pPr>
              <w:spacing w:after="60"/>
              <w:jc w:val="center"/>
              <w:rPr>
                <w:b/>
                <w:sz w:val="20"/>
                <w:szCs w:val="20"/>
              </w:rPr>
            </w:pPr>
            <w:r w:rsidRPr="001D08C5">
              <w:rPr>
                <w:b/>
                <w:sz w:val="20"/>
                <w:szCs w:val="20"/>
              </w:rPr>
              <w:t>Action</w:t>
            </w:r>
          </w:p>
        </w:tc>
        <w:tc>
          <w:tcPr>
            <w:tcW w:w="1333" w:type="dxa"/>
            <w:shd w:val="clear" w:color="auto" w:fill="632423"/>
            <w:vAlign w:val="center"/>
          </w:tcPr>
          <w:p w:rsidR="0001584B" w:rsidRPr="001D08C5" w:rsidRDefault="00876D58" w:rsidP="005D6001">
            <w:pPr>
              <w:spacing w:after="60"/>
              <w:jc w:val="center"/>
              <w:rPr>
                <w:b/>
                <w:sz w:val="20"/>
                <w:szCs w:val="20"/>
              </w:rPr>
            </w:pPr>
            <w:r>
              <w:rPr>
                <w:b/>
                <w:sz w:val="20"/>
                <w:szCs w:val="20"/>
              </w:rPr>
              <w:t xml:space="preserve">SCC </w:t>
            </w:r>
            <w:r w:rsidR="0001584B" w:rsidRPr="001D08C5">
              <w:rPr>
                <w:b/>
                <w:sz w:val="20"/>
                <w:szCs w:val="20"/>
              </w:rPr>
              <w:t>Lead Organization</w:t>
            </w:r>
          </w:p>
        </w:tc>
        <w:tc>
          <w:tcPr>
            <w:tcW w:w="5058" w:type="dxa"/>
            <w:shd w:val="clear" w:color="auto" w:fill="632423"/>
            <w:vAlign w:val="center"/>
          </w:tcPr>
          <w:p w:rsidR="0001584B" w:rsidRPr="001D08C5" w:rsidRDefault="0001584B" w:rsidP="005D6001">
            <w:pPr>
              <w:spacing w:after="60"/>
              <w:jc w:val="center"/>
              <w:rPr>
                <w:b/>
                <w:sz w:val="20"/>
                <w:szCs w:val="20"/>
              </w:rPr>
            </w:pPr>
            <w:r w:rsidRPr="001D08C5">
              <w:rPr>
                <w:b/>
                <w:sz w:val="20"/>
                <w:szCs w:val="20"/>
              </w:rPr>
              <w:t>Description</w:t>
            </w:r>
          </w:p>
        </w:tc>
      </w:tr>
      <w:tr w:rsidR="0001584B" w:rsidRPr="001D08C5" w:rsidTr="00C65E41">
        <w:trPr>
          <w:jc w:val="center"/>
        </w:trPr>
        <w:tc>
          <w:tcPr>
            <w:tcW w:w="1368" w:type="dxa"/>
            <w:shd w:val="clear" w:color="auto" w:fill="F2DBDB"/>
            <w:vAlign w:val="center"/>
          </w:tcPr>
          <w:p w:rsidR="0001584B" w:rsidRPr="00F45EF0" w:rsidRDefault="0001584B" w:rsidP="005D6001">
            <w:pPr>
              <w:spacing w:after="60"/>
              <w:jc w:val="center"/>
              <w:rPr>
                <w:sz w:val="20"/>
                <w:szCs w:val="20"/>
              </w:rPr>
            </w:pPr>
            <w:r w:rsidRPr="00F45EF0">
              <w:rPr>
                <w:sz w:val="20"/>
                <w:szCs w:val="20"/>
              </w:rPr>
              <w:t>Short-term</w:t>
            </w:r>
          </w:p>
          <w:p w:rsidR="0001584B" w:rsidRPr="00F45EF0" w:rsidRDefault="0001584B" w:rsidP="005D6001">
            <w:pPr>
              <w:spacing w:after="60"/>
              <w:jc w:val="center"/>
              <w:rPr>
                <w:i/>
                <w:sz w:val="20"/>
                <w:szCs w:val="20"/>
              </w:rPr>
            </w:pPr>
            <w:r w:rsidRPr="00F45EF0">
              <w:rPr>
                <w:i/>
                <w:sz w:val="20"/>
                <w:szCs w:val="20"/>
              </w:rPr>
              <w:t>(</w:t>
            </w:r>
            <w:r>
              <w:rPr>
                <w:i/>
                <w:sz w:val="20"/>
                <w:szCs w:val="20"/>
              </w:rPr>
              <w:t xml:space="preserve">1 - </w:t>
            </w:r>
            <w:r w:rsidRPr="00F45EF0">
              <w:rPr>
                <w:i/>
                <w:sz w:val="20"/>
                <w:szCs w:val="20"/>
              </w:rPr>
              <w:t>3 months)</w:t>
            </w:r>
          </w:p>
        </w:tc>
        <w:tc>
          <w:tcPr>
            <w:tcW w:w="1817" w:type="dxa"/>
            <w:shd w:val="clear" w:color="auto" w:fill="F2DBDB"/>
          </w:tcPr>
          <w:p w:rsidR="0001584B" w:rsidRPr="001D08C5" w:rsidRDefault="00B11E0E" w:rsidP="005D6001">
            <w:pPr>
              <w:spacing w:after="60"/>
              <w:rPr>
                <w:sz w:val="20"/>
                <w:szCs w:val="20"/>
              </w:rPr>
            </w:pPr>
            <w:r>
              <w:rPr>
                <w:sz w:val="20"/>
                <w:szCs w:val="20"/>
              </w:rPr>
              <w:t>Conduct Federal Passback Data Call on Standards Reuse</w:t>
            </w:r>
          </w:p>
        </w:tc>
        <w:tc>
          <w:tcPr>
            <w:tcW w:w="1333" w:type="dxa"/>
            <w:shd w:val="clear" w:color="auto" w:fill="F2DBDB"/>
          </w:tcPr>
          <w:p w:rsidR="0001584B" w:rsidRPr="001D08C5" w:rsidRDefault="00B11E0E" w:rsidP="005D6001">
            <w:pPr>
              <w:spacing w:after="60"/>
              <w:rPr>
                <w:sz w:val="20"/>
                <w:szCs w:val="20"/>
              </w:rPr>
            </w:pPr>
            <w:r>
              <w:rPr>
                <w:sz w:val="20"/>
                <w:szCs w:val="20"/>
              </w:rPr>
              <w:t>PM-ISE</w:t>
            </w:r>
          </w:p>
        </w:tc>
        <w:tc>
          <w:tcPr>
            <w:tcW w:w="5058" w:type="dxa"/>
            <w:shd w:val="clear" w:color="auto" w:fill="F2DBDB"/>
          </w:tcPr>
          <w:p w:rsidR="00B11E0E" w:rsidRPr="00B11E0E" w:rsidRDefault="00B11E0E" w:rsidP="000A19BC">
            <w:pPr>
              <w:numPr>
                <w:ilvl w:val="0"/>
                <w:numId w:val="14"/>
              </w:numPr>
              <w:spacing w:after="60"/>
              <w:ind w:left="162" w:hanging="162"/>
              <w:rPr>
                <w:bCs/>
                <w:sz w:val="20"/>
              </w:rPr>
            </w:pPr>
            <w:r>
              <w:rPr>
                <w:bCs/>
                <w:sz w:val="20"/>
              </w:rPr>
              <w:t>Assess current use of standards across Federal agencies and make recommendations to impact policy and management regulations</w:t>
            </w:r>
          </w:p>
        </w:tc>
      </w:tr>
      <w:tr w:rsidR="0084362A" w:rsidRPr="001D08C5" w:rsidTr="00C65E41">
        <w:trPr>
          <w:jc w:val="center"/>
        </w:trPr>
        <w:tc>
          <w:tcPr>
            <w:tcW w:w="1368" w:type="dxa"/>
            <w:vMerge w:val="restart"/>
            <w:shd w:val="clear" w:color="auto" w:fill="F2DBDB"/>
            <w:vAlign w:val="center"/>
          </w:tcPr>
          <w:p w:rsidR="0084362A" w:rsidRPr="00F45EF0" w:rsidRDefault="0084362A" w:rsidP="005D6001">
            <w:pPr>
              <w:spacing w:after="60"/>
              <w:jc w:val="center"/>
              <w:rPr>
                <w:sz w:val="20"/>
                <w:szCs w:val="20"/>
              </w:rPr>
            </w:pPr>
            <w:r>
              <w:rPr>
                <w:sz w:val="20"/>
                <w:szCs w:val="20"/>
              </w:rPr>
              <w:t>Long</w:t>
            </w:r>
            <w:r w:rsidRPr="00F45EF0">
              <w:rPr>
                <w:sz w:val="20"/>
                <w:szCs w:val="20"/>
              </w:rPr>
              <w:t>-term</w:t>
            </w:r>
          </w:p>
          <w:p w:rsidR="0084362A" w:rsidRPr="00F45EF0" w:rsidRDefault="0084362A" w:rsidP="005D6001">
            <w:pPr>
              <w:spacing w:after="60"/>
              <w:jc w:val="center"/>
              <w:rPr>
                <w:sz w:val="20"/>
                <w:szCs w:val="20"/>
              </w:rPr>
            </w:pPr>
            <w:r w:rsidRPr="00F45EF0">
              <w:rPr>
                <w:i/>
                <w:sz w:val="20"/>
                <w:szCs w:val="20"/>
              </w:rPr>
              <w:t>(</w:t>
            </w:r>
            <w:r>
              <w:rPr>
                <w:i/>
                <w:sz w:val="20"/>
                <w:szCs w:val="20"/>
              </w:rPr>
              <w:t>3+</w:t>
            </w:r>
            <w:r w:rsidRPr="00F45EF0">
              <w:rPr>
                <w:i/>
                <w:sz w:val="20"/>
                <w:szCs w:val="20"/>
              </w:rPr>
              <w:t xml:space="preserve"> months)</w:t>
            </w:r>
          </w:p>
        </w:tc>
        <w:tc>
          <w:tcPr>
            <w:tcW w:w="1817" w:type="dxa"/>
            <w:shd w:val="clear" w:color="auto" w:fill="F2DBDB"/>
          </w:tcPr>
          <w:p w:rsidR="0084362A" w:rsidRPr="001D08C5" w:rsidRDefault="0084362A" w:rsidP="005D6001">
            <w:pPr>
              <w:spacing w:after="60"/>
              <w:rPr>
                <w:sz w:val="20"/>
                <w:szCs w:val="20"/>
              </w:rPr>
            </w:pPr>
            <w:r>
              <w:rPr>
                <w:sz w:val="20"/>
                <w:szCs w:val="20"/>
              </w:rPr>
              <w:t>Conduct Rollout of Springboard</w:t>
            </w:r>
          </w:p>
        </w:tc>
        <w:tc>
          <w:tcPr>
            <w:tcW w:w="1333" w:type="dxa"/>
            <w:shd w:val="clear" w:color="auto" w:fill="F2DBDB"/>
          </w:tcPr>
          <w:p w:rsidR="0084362A" w:rsidRPr="001D08C5" w:rsidRDefault="0084362A" w:rsidP="005D6001">
            <w:pPr>
              <w:spacing w:after="60"/>
              <w:rPr>
                <w:sz w:val="20"/>
                <w:szCs w:val="20"/>
              </w:rPr>
            </w:pPr>
            <w:r>
              <w:rPr>
                <w:sz w:val="20"/>
                <w:szCs w:val="20"/>
              </w:rPr>
              <w:t>IJIS</w:t>
            </w:r>
          </w:p>
        </w:tc>
        <w:tc>
          <w:tcPr>
            <w:tcW w:w="5058" w:type="dxa"/>
            <w:shd w:val="clear" w:color="auto" w:fill="F2DBDB"/>
          </w:tcPr>
          <w:p w:rsidR="0084362A" w:rsidRDefault="0084362A" w:rsidP="000A19BC">
            <w:pPr>
              <w:numPr>
                <w:ilvl w:val="0"/>
                <w:numId w:val="14"/>
              </w:numPr>
              <w:spacing w:after="60"/>
              <w:ind w:left="162" w:hanging="162"/>
              <w:rPr>
                <w:bCs/>
                <w:sz w:val="20"/>
              </w:rPr>
            </w:pPr>
            <w:r>
              <w:rPr>
                <w:bCs/>
                <w:sz w:val="20"/>
              </w:rPr>
              <w:t xml:space="preserve">Test the </w:t>
            </w:r>
            <w:r w:rsidRPr="00914EF1">
              <w:rPr>
                <w:bCs/>
                <w:sz w:val="20"/>
              </w:rPr>
              <w:t xml:space="preserve">Springboard </w:t>
            </w:r>
            <w:r>
              <w:rPr>
                <w:bCs/>
                <w:sz w:val="20"/>
              </w:rPr>
              <w:t>Concept of Operations leveraging pilot projects selected as part of the interoperability efforts</w:t>
            </w:r>
          </w:p>
          <w:p w:rsidR="0084362A" w:rsidRDefault="0084362A" w:rsidP="000A19BC">
            <w:pPr>
              <w:numPr>
                <w:ilvl w:val="0"/>
                <w:numId w:val="14"/>
              </w:numPr>
              <w:spacing w:after="60"/>
              <w:ind w:left="162" w:hanging="162"/>
              <w:rPr>
                <w:bCs/>
                <w:sz w:val="20"/>
              </w:rPr>
            </w:pPr>
            <w:r>
              <w:rPr>
                <w:bCs/>
                <w:sz w:val="20"/>
              </w:rPr>
              <w:t>Develop a test environment and refine service specification and testing templates as needed</w:t>
            </w:r>
          </w:p>
          <w:p w:rsidR="0084362A" w:rsidRPr="00914EF1" w:rsidRDefault="0084362A" w:rsidP="000A19BC">
            <w:pPr>
              <w:numPr>
                <w:ilvl w:val="0"/>
                <w:numId w:val="14"/>
              </w:numPr>
              <w:spacing w:after="60"/>
              <w:ind w:left="162" w:hanging="162"/>
              <w:rPr>
                <w:bCs/>
                <w:sz w:val="20"/>
              </w:rPr>
            </w:pPr>
            <w:r>
              <w:rPr>
                <w:bCs/>
                <w:sz w:val="20"/>
              </w:rPr>
              <w:t xml:space="preserve">Develop an </w:t>
            </w:r>
            <w:r w:rsidRPr="00914EF1">
              <w:rPr>
                <w:bCs/>
                <w:sz w:val="20"/>
              </w:rPr>
              <w:t xml:space="preserve">Applied Standards Repository </w:t>
            </w:r>
          </w:p>
        </w:tc>
      </w:tr>
      <w:tr w:rsidR="0084362A" w:rsidRPr="001D08C5" w:rsidTr="00C65E41">
        <w:trPr>
          <w:jc w:val="center"/>
        </w:trPr>
        <w:tc>
          <w:tcPr>
            <w:tcW w:w="1368" w:type="dxa"/>
            <w:vMerge/>
            <w:shd w:val="clear" w:color="auto" w:fill="F2DBDB"/>
            <w:vAlign w:val="center"/>
          </w:tcPr>
          <w:p w:rsidR="0084362A" w:rsidRDefault="0084362A" w:rsidP="005D6001">
            <w:pPr>
              <w:spacing w:after="60"/>
              <w:jc w:val="center"/>
              <w:rPr>
                <w:sz w:val="20"/>
                <w:szCs w:val="20"/>
              </w:rPr>
            </w:pPr>
          </w:p>
        </w:tc>
        <w:tc>
          <w:tcPr>
            <w:tcW w:w="1817" w:type="dxa"/>
            <w:shd w:val="clear" w:color="auto" w:fill="F2DBDB"/>
          </w:tcPr>
          <w:p w:rsidR="0084362A" w:rsidRDefault="0084362A" w:rsidP="005D6001">
            <w:pPr>
              <w:spacing w:after="60"/>
              <w:rPr>
                <w:sz w:val="20"/>
                <w:szCs w:val="20"/>
              </w:rPr>
            </w:pPr>
            <w:r>
              <w:rPr>
                <w:sz w:val="20"/>
                <w:szCs w:val="20"/>
              </w:rPr>
              <w:t>Develop Procurement Guidance</w:t>
            </w:r>
          </w:p>
        </w:tc>
        <w:tc>
          <w:tcPr>
            <w:tcW w:w="1333" w:type="dxa"/>
            <w:shd w:val="clear" w:color="auto" w:fill="F2DBDB"/>
          </w:tcPr>
          <w:p w:rsidR="0084362A" w:rsidRDefault="0084362A" w:rsidP="005D6001">
            <w:pPr>
              <w:spacing w:after="60"/>
              <w:rPr>
                <w:sz w:val="20"/>
                <w:szCs w:val="20"/>
              </w:rPr>
            </w:pPr>
            <w:r>
              <w:rPr>
                <w:sz w:val="20"/>
                <w:szCs w:val="20"/>
              </w:rPr>
              <w:t>PM-ISE</w:t>
            </w:r>
            <w:r w:rsidR="00BC5429">
              <w:rPr>
                <w:sz w:val="20"/>
                <w:szCs w:val="20"/>
              </w:rPr>
              <w:t xml:space="preserve"> and GSA</w:t>
            </w:r>
          </w:p>
        </w:tc>
        <w:tc>
          <w:tcPr>
            <w:tcW w:w="5058" w:type="dxa"/>
            <w:shd w:val="clear" w:color="auto" w:fill="F2DBDB"/>
          </w:tcPr>
          <w:p w:rsidR="0084362A" w:rsidRDefault="0084362A" w:rsidP="000A19BC">
            <w:pPr>
              <w:numPr>
                <w:ilvl w:val="0"/>
                <w:numId w:val="14"/>
              </w:numPr>
              <w:spacing w:after="60"/>
              <w:ind w:left="162" w:hanging="162"/>
              <w:rPr>
                <w:bCs/>
                <w:sz w:val="20"/>
              </w:rPr>
            </w:pPr>
            <w:r w:rsidRPr="00914EF1">
              <w:rPr>
                <w:bCs/>
                <w:sz w:val="20"/>
              </w:rPr>
              <w:t>Provide acquisition stakeholders and program managers with resources to identify standards available for reuse, where to find them, and how to evaluate solicitation and grant responses</w:t>
            </w:r>
          </w:p>
          <w:p w:rsidR="00D1086C" w:rsidRPr="00914EF1" w:rsidRDefault="00D1086C" w:rsidP="00D1086C">
            <w:pPr>
              <w:numPr>
                <w:ilvl w:val="0"/>
                <w:numId w:val="14"/>
              </w:numPr>
              <w:spacing w:after="60"/>
              <w:ind w:left="162" w:hanging="162"/>
              <w:rPr>
                <w:bCs/>
                <w:sz w:val="20"/>
              </w:rPr>
            </w:pPr>
            <w:r>
              <w:rPr>
                <w:bCs/>
                <w:sz w:val="20"/>
              </w:rPr>
              <w:t>Leverage SCC participants for lessons learned and examples of standards acquisition language</w:t>
            </w:r>
          </w:p>
        </w:tc>
      </w:tr>
    </w:tbl>
    <w:p w:rsidR="00840845" w:rsidRDefault="00840845"/>
    <w:p w:rsidR="00C733F2" w:rsidRDefault="00C733F2">
      <w:pPr>
        <w:spacing w:after="0" w:line="240" w:lineRule="auto"/>
      </w:pPr>
      <w:r>
        <w:br w:type="page"/>
      </w:r>
    </w:p>
    <w:p w:rsidR="00FB3DC0" w:rsidRDefault="00583C75">
      <w:pPr>
        <w:pStyle w:val="Title"/>
      </w:pPr>
      <w:r>
        <w:t>Appendix A – Participating Organizations</w:t>
      </w:r>
    </w:p>
    <w:p w:rsidR="0092313E" w:rsidRDefault="0092313E" w:rsidP="0092313E">
      <w:pPr>
        <w:spacing w:after="60"/>
        <w:rPr>
          <w:bCs/>
          <w:sz w:val="20"/>
          <w:szCs w:val="20"/>
        </w:rPr>
      </w:pPr>
      <w:r w:rsidRPr="001D08C5">
        <w:rPr>
          <w:bCs/>
          <w:sz w:val="20"/>
          <w:szCs w:val="20"/>
        </w:rPr>
        <w:t>P</w:t>
      </w:r>
      <w:r>
        <w:rPr>
          <w:bCs/>
          <w:sz w:val="20"/>
          <w:szCs w:val="20"/>
        </w:rPr>
        <w:t xml:space="preserve">rogram Manager, </w:t>
      </w:r>
      <w:r w:rsidRPr="001D08C5">
        <w:rPr>
          <w:bCs/>
          <w:sz w:val="20"/>
          <w:szCs w:val="20"/>
        </w:rPr>
        <w:t>I</w:t>
      </w:r>
      <w:r>
        <w:rPr>
          <w:bCs/>
          <w:sz w:val="20"/>
          <w:szCs w:val="20"/>
        </w:rPr>
        <w:t xml:space="preserve">nformation </w:t>
      </w:r>
      <w:r w:rsidRPr="001D08C5">
        <w:rPr>
          <w:bCs/>
          <w:sz w:val="20"/>
          <w:szCs w:val="20"/>
        </w:rPr>
        <w:t>S</w:t>
      </w:r>
      <w:r>
        <w:rPr>
          <w:bCs/>
          <w:sz w:val="20"/>
          <w:szCs w:val="20"/>
        </w:rPr>
        <w:t xml:space="preserve">haring </w:t>
      </w:r>
      <w:r w:rsidRPr="001D08C5">
        <w:rPr>
          <w:bCs/>
          <w:sz w:val="20"/>
          <w:szCs w:val="20"/>
        </w:rPr>
        <w:t>E</w:t>
      </w:r>
      <w:r>
        <w:rPr>
          <w:bCs/>
          <w:sz w:val="20"/>
          <w:szCs w:val="20"/>
        </w:rPr>
        <w:t>nvironment (PM-ISE)</w:t>
      </w:r>
    </w:p>
    <w:p w:rsidR="0092313E" w:rsidRDefault="0092313E" w:rsidP="0092313E">
      <w:pPr>
        <w:spacing w:after="60"/>
        <w:rPr>
          <w:bCs/>
          <w:sz w:val="20"/>
          <w:szCs w:val="20"/>
        </w:rPr>
      </w:pPr>
      <w:r>
        <w:rPr>
          <w:bCs/>
          <w:sz w:val="20"/>
          <w:szCs w:val="20"/>
        </w:rPr>
        <w:t>Object Management Group (</w:t>
      </w:r>
      <w:r w:rsidRPr="001D08C5">
        <w:rPr>
          <w:bCs/>
          <w:sz w:val="20"/>
          <w:szCs w:val="20"/>
        </w:rPr>
        <w:t>OMG</w:t>
      </w:r>
      <w:r>
        <w:rPr>
          <w:bCs/>
          <w:sz w:val="20"/>
          <w:szCs w:val="20"/>
        </w:rPr>
        <w:t>)</w:t>
      </w:r>
    </w:p>
    <w:p w:rsidR="0092313E" w:rsidRDefault="0092313E" w:rsidP="0092313E">
      <w:pPr>
        <w:spacing w:after="60"/>
        <w:rPr>
          <w:bCs/>
          <w:sz w:val="20"/>
          <w:szCs w:val="20"/>
        </w:rPr>
      </w:pPr>
      <w:r>
        <w:rPr>
          <w:bCs/>
          <w:sz w:val="20"/>
          <w:szCs w:val="20"/>
        </w:rPr>
        <w:t>Organization for the Advancement of Structured Information Standards (</w:t>
      </w:r>
      <w:r w:rsidRPr="001D08C5">
        <w:rPr>
          <w:bCs/>
          <w:sz w:val="20"/>
          <w:szCs w:val="20"/>
        </w:rPr>
        <w:t>OASIS</w:t>
      </w:r>
      <w:r>
        <w:rPr>
          <w:bCs/>
          <w:sz w:val="20"/>
          <w:szCs w:val="20"/>
        </w:rPr>
        <w:t>)</w:t>
      </w:r>
    </w:p>
    <w:p w:rsidR="0092313E" w:rsidRDefault="0092313E" w:rsidP="0092313E">
      <w:pPr>
        <w:spacing w:after="60"/>
        <w:rPr>
          <w:bCs/>
          <w:sz w:val="20"/>
          <w:szCs w:val="20"/>
        </w:rPr>
      </w:pPr>
      <w:r>
        <w:rPr>
          <w:bCs/>
          <w:sz w:val="20"/>
          <w:szCs w:val="20"/>
        </w:rPr>
        <w:t>Open Geospatial Consortium (</w:t>
      </w:r>
      <w:r w:rsidRPr="001D08C5">
        <w:rPr>
          <w:bCs/>
          <w:sz w:val="20"/>
          <w:szCs w:val="20"/>
        </w:rPr>
        <w:t>OGC</w:t>
      </w:r>
      <w:r>
        <w:rPr>
          <w:bCs/>
          <w:sz w:val="20"/>
          <w:szCs w:val="20"/>
        </w:rPr>
        <w:t>)</w:t>
      </w:r>
    </w:p>
    <w:p w:rsidR="0092313E" w:rsidRDefault="0092313E" w:rsidP="0092313E">
      <w:pPr>
        <w:spacing w:after="60"/>
        <w:rPr>
          <w:bCs/>
          <w:sz w:val="20"/>
          <w:szCs w:val="20"/>
        </w:rPr>
      </w:pPr>
      <w:r>
        <w:rPr>
          <w:bCs/>
          <w:sz w:val="20"/>
          <w:szCs w:val="20"/>
        </w:rPr>
        <w:t>National Information Exchange Model Program Management Office (</w:t>
      </w:r>
      <w:r w:rsidRPr="001D08C5">
        <w:rPr>
          <w:bCs/>
          <w:sz w:val="20"/>
          <w:szCs w:val="20"/>
        </w:rPr>
        <w:t>NIEM</w:t>
      </w:r>
      <w:r>
        <w:rPr>
          <w:bCs/>
          <w:sz w:val="20"/>
          <w:szCs w:val="20"/>
        </w:rPr>
        <w:t xml:space="preserve"> PMO)</w:t>
      </w:r>
    </w:p>
    <w:p w:rsidR="0092313E" w:rsidRDefault="0092313E" w:rsidP="0092313E">
      <w:pPr>
        <w:spacing w:after="60"/>
        <w:rPr>
          <w:bCs/>
          <w:sz w:val="20"/>
          <w:szCs w:val="20"/>
        </w:rPr>
      </w:pPr>
      <w:r>
        <w:rPr>
          <w:bCs/>
          <w:sz w:val="20"/>
          <w:szCs w:val="20"/>
        </w:rPr>
        <w:t>Integrated Justice Information Systems (</w:t>
      </w:r>
      <w:r w:rsidRPr="001D08C5">
        <w:rPr>
          <w:bCs/>
          <w:sz w:val="20"/>
          <w:szCs w:val="20"/>
        </w:rPr>
        <w:t>IJIS</w:t>
      </w:r>
      <w:r>
        <w:rPr>
          <w:bCs/>
          <w:sz w:val="20"/>
          <w:szCs w:val="20"/>
        </w:rPr>
        <w:t>) Institute</w:t>
      </w:r>
    </w:p>
    <w:p w:rsidR="0092313E" w:rsidRDefault="0092313E" w:rsidP="0092313E">
      <w:pPr>
        <w:spacing w:after="60"/>
        <w:rPr>
          <w:bCs/>
          <w:sz w:val="20"/>
          <w:szCs w:val="20"/>
        </w:rPr>
      </w:pPr>
      <w:r>
        <w:rPr>
          <w:bCs/>
          <w:sz w:val="20"/>
          <w:szCs w:val="20"/>
        </w:rPr>
        <w:t>American Council for Technology and Industry Advisory Council (</w:t>
      </w:r>
      <w:r w:rsidRPr="001D08C5">
        <w:rPr>
          <w:bCs/>
          <w:sz w:val="20"/>
          <w:szCs w:val="20"/>
        </w:rPr>
        <w:t>ACT-IAC</w:t>
      </w:r>
      <w:r>
        <w:rPr>
          <w:bCs/>
          <w:sz w:val="20"/>
          <w:szCs w:val="20"/>
        </w:rPr>
        <w:t>)</w:t>
      </w:r>
    </w:p>
    <w:p w:rsidR="0092313E" w:rsidRDefault="0092313E" w:rsidP="0092313E">
      <w:pPr>
        <w:spacing w:after="60"/>
        <w:rPr>
          <w:bCs/>
          <w:sz w:val="20"/>
          <w:szCs w:val="20"/>
        </w:rPr>
      </w:pPr>
      <w:r>
        <w:rPr>
          <w:bCs/>
          <w:sz w:val="20"/>
          <w:szCs w:val="20"/>
        </w:rPr>
        <w:t>Association for Enterprise Information (</w:t>
      </w:r>
      <w:r w:rsidRPr="001D08C5">
        <w:rPr>
          <w:bCs/>
          <w:sz w:val="20"/>
          <w:szCs w:val="20"/>
        </w:rPr>
        <w:t>AFEI</w:t>
      </w:r>
      <w:r>
        <w:rPr>
          <w:bCs/>
          <w:sz w:val="20"/>
          <w:szCs w:val="20"/>
        </w:rPr>
        <w:t>)</w:t>
      </w:r>
    </w:p>
    <w:p w:rsidR="0092313E" w:rsidRDefault="0092313E" w:rsidP="0092313E">
      <w:pPr>
        <w:spacing w:after="60"/>
        <w:rPr>
          <w:bCs/>
          <w:sz w:val="20"/>
          <w:szCs w:val="20"/>
        </w:rPr>
      </w:pPr>
      <w:r w:rsidRPr="001D08C5">
        <w:rPr>
          <w:bCs/>
          <w:sz w:val="20"/>
          <w:szCs w:val="20"/>
        </w:rPr>
        <w:t>Global</w:t>
      </w:r>
      <w:r>
        <w:rPr>
          <w:bCs/>
          <w:sz w:val="20"/>
          <w:szCs w:val="20"/>
        </w:rPr>
        <w:t xml:space="preserve"> Standards Council (GSC)</w:t>
      </w:r>
    </w:p>
    <w:p w:rsidR="0092313E" w:rsidRPr="0092313E" w:rsidRDefault="0092313E" w:rsidP="0092313E"/>
    <w:sectPr w:rsidR="0092313E" w:rsidRPr="0092313E" w:rsidSect="00192200">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AF" w:rsidRDefault="002061AF" w:rsidP="00BA7C04">
      <w:pPr>
        <w:spacing w:after="0" w:line="240" w:lineRule="auto"/>
      </w:pPr>
      <w:r>
        <w:separator/>
      </w:r>
    </w:p>
  </w:endnote>
  <w:endnote w:type="continuationSeparator" w:id="0">
    <w:p w:rsidR="002061AF" w:rsidRDefault="002061AF" w:rsidP="00B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9C" w:rsidRDefault="002061AF">
    <w:pPr>
      <w:pStyle w:val="Footer"/>
      <w:jc w:val="center"/>
    </w:pPr>
    <w:r>
      <w:fldChar w:fldCharType="begin"/>
    </w:r>
    <w:r>
      <w:instrText xml:space="preserve"> PAGE   \* MERGEFORMAT </w:instrText>
    </w:r>
    <w:r>
      <w:fldChar w:fldCharType="separate"/>
    </w:r>
    <w:r w:rsidR="00823DE4">
      <w:rPr>
        <w:noProof/>
      </w:rPr>
      <w:t>1</w:t>
    </w:r>
    <w:r>
      <w:rPr>
        <w:noProof/>
      </w:rPr>
      <w:fldChar w:fldCharType="end"/>
    </w:r>
  </w:p>
  <w:p w:rsidR="00F66E9C" w:rsidRDefault="00F6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AF" w:rsidRDefault="002061AF" w:rsidP="00BA7C04">
      <w:pPr>
        <w:spacing w:after="0" w:line="240" w:lineRule="auto"/>
      </w:pPr>
      <w:r>
        <w:separator/>
      </w:r>
    </w:p>
  </w:footnote>
  <w:footnote w:type="continuationSeparator" w:id="0">
    <w:p w:rsidR="002061AF" w:rsidRDefault="002061AF" w:rsidP="00BA7C04">
      <w:pPr>
        <w:spacing w:after="0" w:line="240" w:lineRule="auto"/>
      </w:pPr>
      <w:r>
        <w:continuationSeparator/>
      </w:r>
    </w:p>
  </w:footnote>
  <w:footnote w:id="1">
    <w:p w:rsidR="00F66E9C" w:rsidRDefault="00F66E9C">
      <w:pPr>
        <w:pStyle w:val="FootnoteText"/>
      </w:pPr>
      <w:r>
        <w:rPr>
          <w:rStyle w:val="FootnoteReference"/>
        </w:rPr>
        <w:footnoteRef/>
      </w:r>
      <w:r>
        <w:t xml:space="preserve"> </w:t>
      </w:r>
      <w:r w:rsidRPr="00292422">
        <w:t>http://www.afei.org/WorkingGroups/PMISEWG/Documents/Identity%20CHallenges%20Working%20Draft.pdf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8116"/>
      <w:docPartObj>
        <w:docPartGallery w:val="Watermarks"/>
        <w:docPartUnique/>
      </w:docPartObj>
    </w:sdtPr>
    <w:sdtEndPr/>
    <w:sdtContent>
      <w:p w:rsidR="00F66E9C" w:rsidRDefault="002061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0A1"/>
    <w:multiLevelType w:val="hybridMultilevel"/>
    <w:tmpl w:val="80A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07D46"/>
    <w:multiLevelType w:val="hybridMultilevel"/>
    <w:tmpl w:val="58EC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5099"/>
    <w:multiLevelType w:val="hybridMultilevel"/>
    <w:tmpl w:val="969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C075E"/>
    <w:multiLevelType w:val="hybridMultilevel"/>
    <w:tmpl w:val="BD4C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2A5E"/>
    <w:multiLevelType w:val="hybridMultilevel"/>
    <w:tmpl w:val="FFCAB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4795F"/>
    <w:multiLevelType w:val="hybridMultilevel"/>
    <w:tmpl w:val="25D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4853"/>
    <w:multiLevelType w:val="hybridMultilevel"/>
    <w:tmpl w:val="A46AE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F549C9"/>
    <w:multiLevelType w:val="hybridMultilevel"/>
    <w:tmpl w:val="C72EE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424FE5"/>
    <w:multiLevelType w:val="hybridMultilevel"/>
    <w:tmpl w:val="8E9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80B4B"/>
    <w:multiLevelType w:val="hybridMultilevel"/>
    <w:tmpl w:val="CBE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90140"/>
    <w:multiLevelType w:val="hybridMultilevel"/>
    <w:tmpl w:val="979EED70"/>
    <w:lvl w:ilvl="0" w:tplc="A9280ACC">
      <w:numFmt w:val="bullet"/>
      <w:lvlText w:val="·"/>
      <w:lvlJc w:val="left"/>
      <w:pPr>
        <w:ind w:left="855" w:hanging="49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A3726"/>
    <w:multiLevelType w:val="hybridMultilevel"/>
    <w:tmpl w:val="C778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A5D8F"/>
    <w:multiLevelType w:val="hybridMultilevel"/>
    <w:tmpl w:val="048E3672"/>
    <w:lvl w:ilvl="0" w:tplc="A9280ACC">
      <w:numFmt w:val="bullet"/>
      <w:lvlText w:val="·"/>
      <w:lvlJc w:val="left"/>
      <w:pPr>
        <w:ind w:left="855" w:hanging="495"/>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E0A78"/>
    <w:multiLevelType w:val="hybridMultilevel"/>
    <w:tmpl w:val="82AC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81B1B"/>
    <w:multiLevelType w:val="hybridMultilevel"/>
    <w:tmpl w:val="4038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91AE3"/>
    <w:multiLevelType w:val="hybridMultilevel"/>
    <w:tmpl w:val="2D0A2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0D6C5E"/>
    <w:multiLevelType w:val="hybridMultilevel"/>
    <w:tmpl w:val="FC7C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8E0C82"/>
    <w:multiLevelType w:val="hybridMultilevel"/>
    <w:tmpl w:val="01A8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0B31FD"/>
    <w:multiLevelType w:val="hybridMultilevel"/>
    <w:tmpl w:val="DF64BCB8"/>
    <w:lvl w:ilvl="0" w:tplc="0DB4EF24">
      <w:start w:val="1"/>
      <w:numFmt w:val="decimal"/>
      <w:pStyle w:val="Heading1"/>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73221"/>
    <w:multiLevelType w:val="hybridMultilevel"/>
    <w:tmpl w:val="B112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03278"/>
    <w:multiLevelType w:val="hybridMultilevel"/>
    <w:tmpl w:val="A372D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AC71C1"/>
    <w:multiLevelType w:val="hybridMultilevel"/>
    <w:tmpl w:val="780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5"/>
  </w:num>
  <w:num w:numId="5">
    <w:abstractNumId w:val="3"/>
  </w:num>
  <w:num w:numId="6">
    <w:abstractNumId w:val="20"/>
  </w:num>
  <w:num w:numId="7">
    <w:abstractNumId w:val="17"/>
  </w:num>
  <w:num w:numId="8">
    <w:abstractNumId w:val="7"/>
  </w:num>
  <w:num w:numId="9">
    <w:abstractNumId w:val="0"/>
  </w:num>
  <w:num w:numId="10">
    <w:abstractNumId w:val="2"/>
  </w:num>
  <w:num w:numId="11">
    <w:abstractNumId w:val="10"/>
  </w:num>
  <w:num w:numId="12">
    <w:abstractNumId w:val="12"/>
  </w:num>
  <w:num w:numId="13">
    <w:abstractNumId w:val="21"/>
  </w:num>
  <w:num w:numId="14">
    <w:abstractNumId w:val="15"/>
  </w:num>
  <w:num w:numId="15">
    <w:abstractNumId w:val="6"/>
  </w:num>
  <w:num w:numId="16">
    <w:abstractNumId w:val="4"/>
  </w:num>
  <w:num w:numId="17">
    <w:abstractNumId w:val="9"/>
  </w:num>
  <w:num w:numId="18">
    <w:abstractNumId w:val="11"/>
  </w:num>
  <w:num w:numId="19">
    <w:abstractNumId w:val="16"/>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0944"/>
    <w:rsid w:val="000072A4"/>
    <w:rsid w:val="0001584B"/>
    <w:rsid w:val="00032073"/>
    <w:rsid w:val="00056706"/>
    <w:rsid w:val="0007296D"/>
    <w:rsid w:val="00086196"/>
    <w:rsid w:val="00096C8F"/>
    <w:rsid w:val="000A19BC"/>
    <w:rsid w:val="000B71BE"/>
    <w:rsid w:val="000D49EB"/>
    <w:rsid w:val="000E1B7A"/>
    <w:rsid w:val="001040D3"/>
    <w:rsid w:val="00111B09"/>
    <w:rsid w:val="00113902"/>
    <w:rsid w:val="00115EAA"/>
    <w:rsid w:val="0014201C"/>
    <w:rsid w:val="00192200"/>
    <w:rsid w:val="001A186F"/>
    <w:rsid w:val="001B60A9"/>
    <w:rsid w:val="001D08C5"/>
    <w:rsid w:val="001F337C"/>
    <w:rsid w:val="00200944"/>
    <w:rsid w:val="002061AF"/>
    <w:rsid w:val="00216EC6"/>
    <w:rsid w:val="00260044"/>
    <w:rsid w:val="002815A9"/>
    <w:rsid w:val="00292422"/>
    <w:rsid w:val="002C05C4"/>
    <w:rsid w:val="002C110C"/>
    <w:rsid w:val="003010A1"/>
    <w:rsid w:val="003033A9"/>
    <w:rsid w:val="00316EA9"/>
    <w:rsid w:val="00327AEB"/>
    <w:rsid w:val="003623A5"/>
    <w:rsid w:val="00372DF0"/>
    <w:rsid w:val="003807B1"/>
    <w:rsid w:val="00390DC2"/>
    <w:rsid w:val="003B27A0"/>
    <w:rsid w:val="003C4015"/>
    <w:rsid w:val="00452315"/>
    <w:rsid w:val="0047037E"/>
    <w:rsid w:val="0047408E"/>
    <w:rsid w:val="004873F3"/>
    <w:rsid w:val="004C79B2"/>
    <w:rsid w:val="004D1D2D"/>
    <w:rsid w:val="004D4BE1"/>
    <w:rsid w:val="004D6AA2"/>
    <w:rsid w:val="005238E1"/>
    <w:rsid w:val="00525810"/>
    <w:rsid w:val="00532CF6"/>
    <w:rsid w:val="005426C2"/>
    <w:rsid w:val="00542C0F"/>
    <w:rsid w:val="00544B63"/>
    <w:rsid w:val="00583C75"/>
    <w:rsid w:val="00590A0E"/>
    <w:rsid w:val="005B3DBE"/>
    <w:rsid w:val="005D6001"/>
    <w:rsid w:val="006067CE"/>
    <w:rsid w:val="00622EE7"/>
    <w:rsid w:val="00627607"/>
    <w:rsid w:val="00652B7F"/>
    <w:rsid w:val="00682B01"/>
    <w:rsid w:val="00683F2F"/>
    <w:rsid w:val="00690989"/>
    <w:rsid w:val="00693E80"/>
    <w:rsid w:val="0069587D"/>
    <w:rsid w:val="006C3BBF"/>
    <w:rsid w:val="006C62FE"/>
    <w:rsid w:val="006D049A"/>
    <w:rsid w:val="006E7ED0"/>
    <w:rsid w:val="007005B5"/>
    <w:rsid w:val="00701F51"/>
    <w:rsid w:val="00711DD1"/>
    <w:rsid w:val="007343ED"/>
    <w:rsid w:val="00752D1B"/>
    <w:rsid w:val="00780E48"/>
    <w:rsid w:val="00796CA9"/>
    <w:rsid w:val="007B12BF"/>
    <w:rsid w:val="007C2A5B"/>
    <w:rsid w:val="007D0CD8"/>
    <w:rsid w:val="007E3D44"/>
    <w:rsid w:val="007F14DA"/>
    <w:rsid w:val="00814443"/>
    <w:rsid w:val="00823DE4"/>
    <w:rsid w:val="00840845"/>
    <w:rsid w:val="0084362A"/>
    <w:rsid w:val="008707F8"/>
    <w:rsid w:val="00876D58"/>
    <w:rsid w:val="0088791F"/>
    <w:rsid w:val="008A1B71"/>
    <w:rsid w:val="008A3A75"/>
    <w:rsid w:val="008B5AE0"/>
    <w:rsid w:val="00914EF1"/>
    <w:rsid w:val="00922CD2"/>
    <w:rsid w:val="0092313E"/>
    <w:rsid w:val="00956740"/>
    <w:rsid w:val="00964BE4"/>
    <w:rsid w:val="00973591"/>
    <w:rsid w:val="00974111"/>
    <w:rsid w:val="009911B8"/>
    <w:rsid w:val="009A0514"/>
    <w:rsid w:val="009B0A7C"/>
    <w:rsid w:val="009C09D4"/>
    <w:rsid w:val="009D18D9"/>
    <w:rsid w:val="009D6047"/>
    <w:rsid w:val="009F5E5A"/>
    <w:rsid w:val="00A03988"/>
    <w:rsid w:val="00A201B7"/>
    <w:rsid w:val="00A50CBD"/>
    <w:rsid w:val="00A631EC"/>
    <w:rsid w:val="00A63248"/>
    <w:rsid w:val="00A66D24"/>
    <w:rsid w:val="00A82791"/>
    <w:rsid w:val="00AE1B3F"/>
    <w:rsid w:val="00AF1E34"/>
    <w:rsid w:val="00B11E0E"/>
    <w:rsid w:val="00B12D2B"/>
    <w:rsid w:val="00B36878"/>
    <w:rsid w:val="00B70C2C"/>
    <w:rsid w:val="00B72D82"/>
    <w:rsid w:val="00BA7C04"/>
    <w:rsid w:val="00BB46B1"/>
    <w:rsid w:val="00BC5429"/>
    <w:rsid w:val="00BE0ED2"/>
    <w:rsid w:val="00BE6C92"/>
    <w:rsid w:val="00C11918"/>
    <w:rsid w:val="00C65E41"/>
    <w:rsid w:val="00C733F2"/>
    <w:rsid w:val="00CA748F"/>
    <w:rsid w:val="00D1086C"/>
    <w:rsid w:val="00D67B79"/>
    <w:rsid w:val="00D76FD3"/>
    <w:rsid w:val="00E07A8B"/>
    <w:rsid w:val="00E102E6"/>
    <w:rsid w:val="00E23E20"/>
    <w:rsid w:val="00E354F2"/>
    <w:rsid w:val="00E567C8"/>
    <w:rsid w:val="00E57033"/>
    <w:rsid w:val="00E62C01"/>
    <w:rsid w:val="00E72BDA"/>
    <w:rsid w:val="00E73723"/>
    <w:rsid w:val="00EE6B58"/>
    <w:rsid w:val="00EF065C"/>
    <w:rsid w:val="00EF12D4"/>
    <w:rsid w:val="00F25D7C"/>
    <w:rsid w:val="00F402D3"/>
    <w:rsid w:val="00F459FA"/>
    <w:rsid w:val="00F45EF0"/>
    <w:rsid w:val="00F540B9"/>
    <w:rsid w:val="00F5459F"/>
    <w:rsid w:val="00F57933"/>
    <w:rsid w:val="00F61B67"/>
    <w:rsid w:val="00F630AB"/>
    <w:rsid w:val="00F66E9C"/>
    <w:rsid w:val="00F817F4"/>
    <w:rsid w:val="00FB3DC0"/>
    <w:rsid w:val="00FC2A12"/>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7C"/>
    <w:pPr>
      <w:spacing w:after="200" w:line="276" w:lineRule="auto"/>
    </w:pPr>
    <w:rPr>
      <w:sz w:val="22"/>
      <w:szCs w:val="22"/>
      <w:lang w:bidi="en-US"/>
    </w:rPr>
  </w:style>
  <w:style w:type="paragraph" w:styleId="Heading1">
    <w:name w:val="heading 1"/>
    <w:basedOn w:val="Normal"/>
    <w:next w:val="Normal"/>
    <w:link w:val="Heading1Char"/>
    <w:autoRedefine/>
    <w:uiPriority w:val="9"/>
    <w:qFormat/>
    <w:rsid w:val="00A201B7"/>
    <w:pPr>
      <w:keepNext/>
      <w:keepLines/>
      <w:numPr>
        <w:numId w:val="22"/>
      </w:numPr>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337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F337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1F337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1F337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F337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F337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F337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F337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944"/>
    <w:pPr>
      <w:autoSpaceDE w:val="0"/>
      <w:autoSpaceDN w:val="0"/>
      <w:adjustRightInd w:val="0"/>
      <w:spacing w:after="200" w:line="276" w:lineRule="auto"/>
    </w:pPr>
    <w:rPr>
      <w:rFonts w:ascii="Times New Roman" w:hAnsi="Times New Roman"/>
      <w:color w:val="000000"/>
      <w:sz w:val="24"/>
      <w:szCs w:val="24"/>
    </w:rPr>
  </w:style>
  <w:style w:type="paragraph" w:styleId="ListParagraph">
    <w:name w:val="List Paragraph"/>
    <w:basedOn w:val="Normal"/>
    <w:uiPriority w:val="34"/>
    <w:qFormat/>
    <w:rsid w:val="001F337C"/>
    <w:pPr>
      <w:ind w:left="720"/>
      <w:contextualSpacing/>
    </w:pPr>
  </w:style>
  <w:style w:type="table" w:styleId="TableGrid">
    <w:name w:val="Table Grid"/>
    <w:basedOn w:val="TableNormal"/>
    <w:uiPriority w:val="59"/>
    <w:rsid w:val="00487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3F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873F3"/>
    <w:rPr>
      <w:rFonts w:ascii="Tahoma" w:hAnsi="Tahoma" w:cs="Tahoma"/>
      <w:sz w:val="16"/>
      <w:szCs w:val="16"/>
    </w:rPr>
  </w:style>
  <w:style w:type="table" w:styleId="LightList-Accent3">
    <w:name w:val="Light List Accent 3"/>
    <w:basedOn w:val="TableNormal"/>
    <w:uiPriority w:val="61"/>
    <w:rsid w:val="004873F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itle">
    <w:name w:val="Title"/>
    <w:basedOn w:val="Normal"/>
    <w:next w:val="Normal"/>
    <w:link w:val="TitleChar"/>
    <w:uiPriority w:val="10"/>
    <w:qFormat/>
    <w:rsid w:val="001F337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F337C"/>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D76FD3"/>
    <w:rPr>
      <w:sz w:val="16"/>
      <w:szCs w:val="16"/>
    </w:rPr>
  </w:style>
  <w:style w:type="paragraph" w:styleId="CommentText">
    <w:name w:val="annotation text"/>
    <w:basedOn w:val="Normal"/>
    <w:link w:val="CommentTextChar"/>
    <w:uiPriority w:val="99"/>
    <w:semiHidden/>
    <w:unhideWhenUsed/>
    <w:rsid w:val="00D76FD3"/>
    <w:rPr>
      <w:sz w:val="20"/>
      <w:szCs w:val="20"/>
    </w:rPr>
  </w:style>
  <w:style w:type="character" w:customStyle="1" w:styleId="CommentTextChar">
    <w:name w:val="Comment Text Char"/>
    <w:basedOn w:val="DefaultParagraphFont"/>
    <w:link w:val="CommentText"/>
    <w:uiPriority w:val="99"/>
    <w:semiHidden/>
    <w:rsid w:val="00D76FD3"/>
  </w:style>
  <w:style w:type="paragraph" w:styleId="CommentSubject">
    <w:name w:val="annotation subject"/>
    <w:basedOn w:val="CommentText"/>
    <w:next w:val="CommentText"/>
    <w:link w:val="CommentSubjectChar"/>
    <w:uiPriority w:val="99"/>
    <w:semiHidden/>
    <w:unhideWhenUsed/>
    <w:rsid w:val="00D76FD3"/>
    <w:rPr>
      <w:b/>
      <w:bCs/>
      <w:lang w:bidi="ar-SA"/>
    </w:rPr>
  </w:style>
  <w:style w:type="character" w:customStyle="1" w:styleId="CommentSubjectChar">
    <w:name w:val="Comment Subject Char"/>
    <w:link w:val="CommentSubject"/>
    <w:uiPriority w:val="99"/>
    <w:semiHidden/>
    <w:rsid w:val="00D76FD3"/>
    <w:rPr>
      <w:b/>
      <w:bCs/>
    </w:rPr>
  </w:style>
  <w:style w:type="paragraph" w:styleId="Header">
    <w:name w:val="header"/>
    <w:basedOn w:val="Normal"/>
    <w:link w:val="HeaderChar"/>
    <w:uiPriority w:val="99"/>
    <w:unhideWhenUsed/>
    <w:rsid w:val="00BA7C04"/>
    <w:pPr>
      <w:tabs>
        <w:tab w:val="center" w:pos="4680"/>
        <w:tab w:val="right" w:pos="9360"/>
      </w:tabs>
    </w:pPr>
  </w:style>
  <w:style w:type="character" w:customStyle="1" w:styleId="HeaderChar">
    <w:name w:val="Header Char"/>
    <w:basedOn w:val="DefaultParagraphFont"/>
    <w:link w:val="Header"/>
    <w:uiPriority w:val="99"/>
    <w:rsid w:val="00BA7C04"/>
    <w:rPr>
      <w:sz w:val="22"/>
      <w:szCs w:val="22"/>
    </w:rPr>
  </w:style>
  <w:style w:type="paragraph" w:styleId="Footer">
    <w:name w:val="footer"/>
    <w:basedOn w:val="Normal"/>
    <w:link w:val="FooterChar"/>
    <w:uiPriority w:val="99"/>
    <w:unhideWhenUsed/>
    <w:rsid w:val="00BA7C04"/>
    <w:pPr>
      <w:tabs>
        <w:tab w:val="center" w:pos="4680"/>
        <w:tab w:val="right" w:pos="9360"/>
      </w:tabs>
    </w:pPr>
  </w:style>
  <w:style w:type="character" w:customStyle="1" w:styleId="FooterChar">
    <w:name w:val="Footer Char"/>
    <w:basedOn w:val="DefaultParagraphFont"/>
    <w:link w:val="Footer"/>
    <w:uiPriority w:val="99"/>
    <w:rsid w:val="00BA7C04"/>
    <w:rPr>
      <w:sz w:val="22"/>
      <w:szCs w:val="22"/>
    </w:rPr>
  </w:style>
  <w:style w:type="character" w:styleId="Hyperlink">
    <w:name w:val="Hyperlink"/>
    <w:basedOn w:val="DefaultParagraphFont"/>
    <w:uiPriority w:val="99"/>
    <w:unhideWhenUsed/>
    <w:rsid w:val="00F25D7C"/>
    <w:rPr>
      <w:color w:val="0000FF"/>
      <w:u w:val="single"/>
    </w:rPr>
  </w:style>
  <w:style w:type="character" w:customStyle="1" w:styleId="Heading1Char">
    <w:name w:val="Heading 1 Char"/>
    <w:basedOn w:val="DefaultParagraphFont"/>
    <w:link w:val="Heading1"/>
    <w:uiPriority w:val="9"/>
    <w:rsid w:val="00A201B7"/>
    <w:rPr>
      <w:rFonts w:ascii="Cambria" w:hAnsi="Cambria"/>
      <w:b/>
      <w:bCs/>
      <w:color w:val="365F91"/>
      <w:sz w:val="28"/>
      <w:szCs w:val="28"/>
      <w:lang w:bidi="en-US"/>
    </w:rPr>
  </w:style>
  <w:style w:type="character" w:customStyle="1" w:styleId="Heading2Char">
    <w:name w:val="Heading 2 Char"/>
    <w:basedOn w:val="DefaultParagraphFont"/>
    <w:link w:val="Heading2"/>
    <w:uiPriority w:val="9"/>
    <w:rsid w:val="001F337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F337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F337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F337C"/>
    <w:rPr>
      <w:rFonts w:ascii="Cambria" w:eastAsia="Times New Roman" w:hAnsi="Cambria" w:cs="Times New Roman"/>
      <w:color w:val="243F60"/>
    </w:rPr>
  </w:style>
  <w:style w:type="table" w:styleId="LightGrid-Accent3">
    <w:name w:val="Light Grid Accent 3"/>
    <w:basedOn w:val="TableNormal"/>
    <w:uiPriority w:val="62"/>
    <w:rsid w:val="0095674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2-Accent5">
    <w:name w:val="Medium Grid 2 Accent 5"/>
    <w:basedOn w:val="TableNormal"/>
    <w:uiPriority w:val="68"/>
    <w:rsid w:val="0095674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Accent3">
    <w:name w:val="Medium Grid 1 Accent 3"/>
    <w:basedOn w:val="TableNormal"/>
    <w:uiPriority w:val="67"/>
    <w:rsid w:val="0095674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95674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Shading-Accent3">
    <w:name w:val="Light Shading Accent 3"/>
    <w:basedOn w:val="TableNormal"/>
    <w:uiPriority w:val="60"/>
    <w:rsid w:val="0095674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5674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3">
    <w:name w:val="Medium List 2 Accent 3"/>
    <w:basedOn w:val="TableNormal"/>
    <w:uiPriority w:val="66"/>
    <w:rsid w:val="00F5459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Heading6Char">
    <w:name w:val="Heading 6 Char"/>
    <w:basedOn w:val="DefaultParagraphFont"/>
    <w:link w:val="Heading6"/>
    <w:uiPriority w:val="9"/>
    <w:rsid w:val="001F337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F337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F337C"/>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F337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F337C"/>
    <w:pPr>
      <w:spacing w:line="240" w:lineRule="auto"/>
    </w:pPr>
    <w:rPr>
      <w:b/>
      <w:bCs/>
      <w:color w:val="4F81BD"/>
      <w:sz w:val="18"/>
      <w:szCs w:val="18"/>
    </w:rPr>
  </w:style>
  <w:style w:type="paragraph" w:styleId="Subtitle">
    <w:name w:val="Subtitle"/>
    <w:basedOn w:val="Normal"/>
    <w:next w:val="Normal"/>
    <w:link w:val="SubtitleChar"/>
    <w:uiPriority w:val="11"/>
    <w:qFormat/>
    <w:rsid w:val="001F337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F337C"/>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F337C"/>
    <w:rPr>
      <w:b/>
      <w:bCs/>
    </w:rPr>
  </w:style>
  <w:style w:type="character" w:styleId="Emphasis">
    <w:name w:val="Emphasis"/>
    <w:basedOn w:val="DefaultParagraphFont"/>
    <w:uiPriority w:val="20"/>
    <w:qFormat/>
    <w:rsid w:val="001F337C"/>
    <w:rPr>
      <w:i/>
      <w:iCs/>
    </w:rPr>
  </w:style>
  <w:style w:type="paragraph" w:styleId="NoSpacing">
    <w:name w:val="No Spacing"/>
    <w:uiPriority w:val="1"/>
    <w:qFormat/>
    <w:rsid w:val="001F337C"/>
    <w:rPr>
      <w:sz w:val="22"/>
      <w:szCs w:val="22"/>
      <w:lang w:bidi="en-US"/>
    </w:rPr>
  </w:style>
  <w:style w:type="paragraph" w:styleId="Quote">
    <w:name w:val="Quote"/>
    <w:basedOn w:val="Normal"/>
    <w:next w:val="Normal"/>
    <w:link w:val="QuoteChar"/>
    <w:uiPriority w:val="29"/>
    <w:qFormat/>
    <w:rsid w:val="001F337C"/>
    <w:rPr>
      <w:i/>
      <w:iCs/>
      <w:color w:val="000000"/>
    </w:rPr>
  </w:style>
  <w:style w:type="character" w:customStyle="1" w:styleId="QuoteChar">
    <w:name w:val="Quote Char"/>
    <w:basedOn w:val="DefaultParagraphFont"/>
    <w:link w:val="Quote"/>
    <w:uiPriority w:val="29"/>
    <w:rsid w:val="001F337C"/>
    <w:rPr>
      <w:i/>
      <w:iCs/>
      <w:color w:val="000000"/>
    </w:rPr>
  </w:style>
  <w:style w:type="paragraph" w:styleId="IntenseQuote">
    <w:name w:val="Intense Quote"/>
    <w:basedOn w:val="Normal"/>
    <w:next w:val="Normal"/>
    <w:link w:val="IntenseQuoteChar"/>
    <w:uiPriority w:val="30"/>
    <w:qFormat/>
    <w:rsid w:val="001F33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F337C"/>
    <w:rPr>
      <w:b/>
      <w:bCs/>
      <w:i/>
      <w:iCs/>
      <w:color w:val="4F81BD"/>
    </w:rPr>
  </w:style>
  <w:style w:type="character" w:styleId="SubtleEmphasis">
    <w:name w:val="Subtle Emphasis"/>
    <w:basedOn w:val="DefaultParagraphFont"/>
    <w:uiPriority w:val="19"/>
    <w:qFormat/>
    <w:rsid w:val="001F337C"/>
    <w:rPr>
      <w:i/>
      <w:iCs/>
      <w:color w:val="808080"/>
    </w:rPr>
  </w:style>
  <w:style w:type="character" w:styleId="IntenseEmphasis">
    <w:name w:val="Intense Emphasis"/>
    <w:basedOn w:val="DefaultParagraphFont"/>
    <w:uiPriority w:val="21"/>
    <w:qFormat/>
    <w:rsid w:val="001F337C"/>
    <w:rPr>
      <w:b/>
      <w:bCs/>
      <w:i/>
      <w:iCs/>
      <w:color w:val="4F81BD"/>
    </w:rPr>
  </w:style>
  <w:style w:type="character" w:styleId="SubtleReference">
    <w:name w:val="Subtle Reference"/>
    <w:basedOn w:val="DefaultParagraphFont"/>
    <w:uiPriority w:val="31"/>
    <w:qFormat/>
    <w:rsid w:val="001F337C"/>
    <w:rPr>
      <w:smallCaps/>
      <w:color w:val="C0504D"/>
      <w:u w:val="single"/>
    </w:rPr>
  </w:style>
  <w:style w:type="character" w:styleId="IntenseReference">
    <w:name w:val="Intense Reference"/>
    <w:basedOn w:val="DefaultParagraphFont"/>
    <w:uiPriority w:val="32"/>
    <w:qFormat/>
    <w:rsid w:val="001F337C"/>
    <w:rPr>
      <w:b/>
      <w:bCs/>
      <w:smallCaps/>
      <w:color w:val="C0504D"/>
      <w:spacing w:val="5"/>
      <w:u w:val="single"/>
    </w:rPr>
  </w:style>
  <w:style w:type="character" w:styleId="BookTitle">
    <w:name w:val="Book Title"/>
    <w:basedOn w:val="DefaultParagraphFont"/>
    <w:uiPriority w:val="33"/>
    <w:qFormat/>
    <w:rsid w:val="001F337C"/>
    <w:rPr>
      <w:b/>
      <w:bCs/>
      <w:smallCaps/>
      <w:spacing w:val="5"/>
    </w:rPr>
  </w:style>
  <w:style w:type="paragraph" w:styleId="TOCHeading">
    <w:name w:val="TOC Heading"/>
    <w:basedOn w:val="Heading1"/>
    <w:next w:val="Normal"/>
    <w:uiPriority w:val="39"/>
    <w:semiHidden/>
    <w:unhideWhenUsed/>
    <w:qFormat/>
    <w:rsid w:val="001F337C"/>
    <w:pPr>
      <w:outlineLvl w:val="9"/>
    </w:pPr>
  </w:style>
  <w:style w:type="paragraph" w:styleId="FootnoteText">
    <w:name w:val="footnote text"/>
    <w:basedOn w:val="Normal"/>
    <w:link w:val="FootnoteTextChar"/>
    <w:uiPriority w:val="99"/>
    <w:semiHidden/>
    <w:unhideWhenUsed/>
    <w:rsid w:val="00292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422"/>
    <w:rPr>
      <w:lang w:bidi="en-US"/>
    </w:rPr>
  </w:style>
  <w:style w:type="character" w:styleId="FootnoteReference">
    <w:name w:val="footnote reference"/>
    <w:basedOn w:val="DefaultParagraphFont"/>
    <w:uiPriority w:val="99"/>
    <w:semiHidden/>
    <w:unhideWhenUsed/>
    <w:rsid w:val="00292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2186">
      <w:bodyDiv w:val="1"/>
      <w:marLeft w:val="0"/>
      <w:marRight w:val="0"/>
      <w:marTop w:val="0"/>
      <w:marBottom w:val="0"/>
      <w:divBdr>
        <w:top w:val="none" w:sz="0" w:space="0" w:color="auto"/>
        <w:left w:val="none" w:sz="0" w:space="0" w:color="auto"/>
        <w:bottom w:val="none" w:sz="0" w:space="0" w:color="auto"/>
        <w:right w:val="none" w:sz="0" w:space="0" w:color="auto"/>
      </w:divBdr>
    </w:div>
    <w:div w:id="578254849">
      <w:bodyDiv w:val="1"/>
      <w:marLeft w:val="0"/>
      <w:marRight w:val="0"/>
      <w:marTop w:val="0"/>
      <w:marBottom w:val="0"/>
      <w:divBdr>
        <w:top w:val="none" w:sz="0" w:space="0" w:color="auto"/>
        <w:left w:val="none" w:sz="0" w:space="0" w:color="auto"/>
        <w:bottom w:val="none" w:sz="0" w:space="0" w:color="auto"/>
        <w:right w:val="none" w:sz="0" w:space="0" w:color="auto"/>
      </w:divBdr>
    </w:div>
    <w:div w:id="14825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ei.org/WorkingGroups/PMISEWG/Documents/Identity%20CHallenges%20Working%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651-F7EC-4716-813C-9990B2F2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2012-02-28T23:07:00Z</dcterms:created>
  <dcterms:modified xsi:type="dcterms:W3CDTF">2012-02-28T23:07:00Z</dcterms:modified>
</cp:coreProperties>
</file>