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EE" w:rsidRPr="0013388E" w:rsidRDefault="004A53E7">
      <w:pPr>
        <w:rPr>
          <w:b/>
        </w:rPr>
      </w:pPr>
      <w:r w:rsidRPr="0013388E">
        <w:rPr>
          <w:b/>
        </w:rPr>
        <w:t>Candidate OASIS Standard – approvals process</w:t>
      </w:r>
    </w:p>
    <w:p w:rsidR="004A53E7" w:rsidRPr="004A53E7" w:rsidRDefault="004A53E7" w:rsidP="0013388E">
      <w:pPr>
        <w:spacing w:before="100" w:beforeAutospacing="1" w:after="0" w:line="240" w:lineRule="auto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The Candidate OASIS Standard stage is made up of several sequential steps:</w:t>
      </w:r>
    </w:p>
    <w:p w:rsidR="004A53E7" w:rsidRPr="004A53E7" w:rsidRDefault="004A53E7" w:rsidP="0013388E">
      <w:pPr>
        <w:numPr>
          <w:ilvl w:val="0"/>
          <w:numId w:val="1"/>
        </w:numPr>
        <w:spacing w:before="100" w:beforeAutospacing="1" w:after="0" w:line="240" w:lineRule="auto"/>
        <w:ind w:left="108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A Special Majority Ballot indicating the TC's approval to submit the C</w:t>
      </w:r>
      <w:r w:rsidRPr="0013388E">
        <w:rPr>
          <w:rFonts w:eastAsia="Times New Roman" w:cs="Times New Roman"/>
          <w:color w:val="666666"/>
          <w:lang w:eastAsia="en-GB"/>
        </w:rPr>
        <w:t xml:space="preserve">ommittee </w:t>
      </w:r>
      <w:r w:rsidRPr="004A53E7">
        <w:rPr>
          <w:rFonts w:eastAsia="Times New Roman" w:cs="Times New Roman"/>
          <w:color w:val="666666"/>
          <w:lang w:eastAsia="en-GB"/>
        </w:rPr>
        <w:t>S</w:t>
      </w:r>
      <w:r w:rsidRPr="0013388E">
        <w:rPr>
          <w:rFonts w:eastAsia="Times New Roman" w:cs="Times New Roman"/>
          <w:color w:val="666666"/>
          <w:lang w:eastAsia="en-GB"/>
        </w:rPr>
        <w:t xml:space="preserve">pecification </w:t>
      </w:r>
      <w:r w:rsidRPr="004A53E7">
        <w:rPr>
          <w:rFonts w:eastAsia="Times New Roman" w:cs="Times New Roman"/>
          <w:color w:val="666666"/>
          <w:lang w:eastAsia="en-GB"/>
        </w:rPr>
        <w:t xml:space="preserve"> to the OASIS membership for consideration as an OASIS Standard</w:t>
      </w:r>
    </w:p>
    <w:p w:rsidR="004A53E7" w:rsidRPr="004A53E7" w:rsidRDefault="004A53E7" w:rsidP="0013388E">
      <w:pPr>
        <w:numPr>
          <w:ilvl w:val="0"/>
          <w:numId w:val="1"/>
        </w:numPr>
        <w:spacing w:before="100" w:beforeAutospacing="1" w:after="0" w:line="240" w:lineRule="auto"/>
        <w:ind w:left="108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The formal submission request</w:t>
      </w:r>
    </w:p>
    <w:p w:rsidR="004A53E7" w:rsidRPr="004A53E7" w:rsidRDefault="004A53E7" w:rsidP="0013388E">
      <w:pPr>
        <w:numPr>
          <w:ilvl w:val="0"/>
          <w:numId w:val="1"/>
        </w:numPr>
        <w:spacing w:before="100" w:beforeAutospacing="1" w:after="0" w:line="240" w:lineRule="auto"/>
        <w:ind w:left="108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A (minimum) 60-day Public Review</w:t>
      </w:r>
    </w:p>
    <w:p w:rsidR="004A53E7" w:rsidRPr="004A53E7" w:rsidRDefault="004A53E7" w:rsidP="0013388E">
      <w:pPr>
        <w:numPr>
          <w:ilvl w:val="0"/>
          <w:numId w:val="1"/>
        </w:numPr>
        <w:spacing w:before="100" w:beforeAutospacing="1" w:after="0" w:line="240" w:lineRule="auto"/>
        <w:ind w:left="108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 xml:space="preserve">Depending on the results of the review: </w:t>
      </w:r>
    </w:p>
    <w:p w:rsidR="004A53E7" w:rsidRPr="004A53E7" w:rsidRDefault="004A53E7" w:rsidP="0013388E">
      <w:pPr>
        <w:numPr>
          <w:ilvl w:val="1"/>
          <w:numId w:val="1"/>
        </w:numPr>
        <w:spacing w:before="100" w:beforeAutospacing="1" w:after="0" w:line="240" w:lineRule="auto"/>
        <w:ind w:left="216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withdrawing the Candidate OASIS Standard,</w:t>
      </w:r>
    </w:p>
    <w:p w:rsidR="004A53E7" w:rsidRPr="004A53E7" w:rsidRDefault="004A53E7" w:rsidP="0013388E">
      <w:pPr>
        <w:numPr>
          <w:ilvl w:val="1"/>
          <w:numId w:val="1"/>
        </w:numPr>
        <w:spacing w:before="100" w:beforeAutospacing="1" w:after="0" w:line="240" w:lineRule="auto"/>
        <w:ind w:left="216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a Special Majority Ballot to approve proceeding with the member-wide ballot, or</w:t>
      </w:r>
    </w:p>
    <w:p w:rsidR="004A53E7" w:rsidRPr="004A53E7" w:rsidRDefault="004A53E7" w:rsidP="0013388E">
      <w:pPr>
        <w:numPr>
          <w:ilvl w:val="1"/>
          <w:numId w:val="1"/>
        </w:numPr>
        <w:spacing w:before="100" w:beforeAutospacing="1" w:after="0" w:line="240" w:lineRule="auto"/>
        <w:ind w:left="2160"/>
        <w:rPr>
          <w:rFonts w:eastAsia="Times New Roman" w:cs="Times New Roman"/>
          <w:color w:val="666666"/>
          <w:lang w:eastAsia="en-GB"/>
        </w:rPr>
      </w:pPr>
      <w:proofErr w:type="gramStart"/>
      <w:r w:rsidRPr="004A53E7">
        <w:rPr>
          <w:rFonts w:eastAsia="Times New Roman" w:cs="Times New Roman"/>
          <w:color w:val="666666"/>
          <w:lang w:eastAsia="en-GB"/>
        </w:rPr>
        <w:t>member-wide</w:t>
      </w:r>
      <w:proofErr w:type="gramEnd"/>
      <w:r w:rsidRPr="004A53E7">
        <w:rPr>
          <w:rFonts w:eastAsia="Times New Roman" w:cs="Times New Roman"/>
          <w:color w:val="666666"/>
          <w:lang w:eastAsia="en-GB"/>
        </w:rPr>
        <w:t xml:space="preserve"> 14-day ballot to approve the COS as an OASIS Standard.</w:t>
      </w:r>
    </w:p>
    <w:p w:rsidR="004A53E7" w:rsidRPr="004A53E7" w:rsidRDefault="004A53E7" w:rsidP="0013388E">
      <w:pPr>
        <w:spacing w:before="100" w:beforeAutospacing="1" w:after="0" w:line="240" w:lineRule="auto"/>
        <w:outlineLvl w:val="3"/>
        <w:rPr>
          <w:rFonts w:eastAsia="Times New Roman" w:cs="Times New Roman"/>
          <w:smallCaps/>
          <w:color w:val="A1985A"/>
          <w:lang w:eastAsia="en-GB"/>
        </w:rPr>
      </w:pPr>
      <w:r w:rsidRPr="004A53E7">
        <w:rPr>
          <w:rFonts w:eastAsia="Times New Roman" w:cs="Times New Roman"/>
          <w:smallCaps/>
          <w:color w:val="A1985A"/>
          <w:lang w:eastAsia="en-GB"/>
        </w:rPr>
        <w:t>Special Majority Ballot Request</w:t>
      </w:r>
    </w:p>
    <w:p w:rsidR="004A53E7" w:rsidRPr="004A53E7" w:rsidRDefault="004A53E7" w:rsidP="0013388E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>Only Committee Specifications can be approved as Candidate OASIS Standards. A Special Majority Ballot is required and must be conducted by the OASIS TC Administrator. The TC must first approve a motion to request a Special Majority Ballot which must include the CS number and approval date. The TC must also have received at least three Statements of Use before it can proceed.</w:t>
      </w:r>
    </w:p>
    <w:p w:rsidR="004A53E7" w:rsidRDefault="004A53E7" w:rsidP="0013388E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eastAsia="Times New Roman" w:cs="Times New Roman"/>
          <w:color w:val="666666"/>
          <w:lang w:eastAsia="en-GB"/>
        </w:rPr>
      </w:pPr>
      <w:r w:rsidRPr="004A53E7">
        <w:rPr>
          <w:rFonts w:eastAsia="Times New Roman" w:cs="Times New Roman"/>
          <w:color w:val="666666"/>
          <w:lang w:eastAsia="en-GB"/>
        </w:rPr>
        <w:t xml:space="preserve">Upon approval, the Chair or other representative of the TC must notify TC Administration by completing a </w:t>
      </w:r>
      <w:hyperlink r:id="rId5" w:history="1">
        <w:r w:rsidRPr="004A53E7">
          <w:rPr>
            <w:rFonts w:eastAsia="Times New Roman" w:cs="Times New Roman"/>
            <w:color w:val="551982"/>
            <w:u w:val="single"/>
            <w:lang w:eastAsia="en-GB"/>
          </w:rPr>
          <w:t>Committee OASIS Standard Submission Ballot Request</w:t>
        </w:r>
      </w:hyperlink>
      <w:r w:rsidRPr="004A53E7">
        <w:rPr>
          <w:rFonts w:eastAsia="Times New Roman" w:cs="Times New Roman"/>
          <w:color w:val="666666"/>
          <w:lang w:eastAsia="en-GB"/>
        </w:rPr>
        <w:t>.</w:t>
      </w:r>
    </w:p>
    <w:p w:rsidR="0013388E" w:rsidRPr="004A53E7" w:rsidRDefault="0013388E" w:rsidP="0013388E">
      <w:pPr>
        <w:spacing w:before="100" w:beforeAutospacing="1" w:after="0" w:line="240" w:lineRule="auto"/>
        <w:rPr>
          <w:rFonts w:eastAsia="Times New Roman" w:cs="Times New Roman"/>
          <w:color w:val="666666"/>
          <w:lang w:eastAsia="en-GB"/>
        </w:rPr>
      </w:pPr>
    </w:p>
    <w:p w:rsidR="004A53E7" w:rsidRPr="004A53E7" w:rsidRDefault="004A53E7" w:rsidP="0013388E">
      <w:pPr>
        <w:pStyle w:val="Default"/>
        <w:rPr>
          <w:rFonts w:asciiTheme="minorHAnsi" w:hAnsiTheme="minorHAnsi"/>
          <w:sz w:val="22"/>
          <w:szCs w:val="22"/>
        </w:rPr>
      </w:pPr>
      <w:r w:rsidRPr="004A53E7">
        <w:rPr>
          <w:rFonts w:asciiTheme="minorHAnsi" w:hAnsiTheme="minorHAnsi"/>
          <w:sz w:val="22"/>
          <w:szCs w:val="22"/>
        </w:rPr>
        <w:t>"</w:t>
      </w:r>
      <w:r w:rsidRPr="004A53E7">
        <w:rPr>
          <w:rFonts w:asciiTheme="minorHAnsi" w:hAnsiTheme="minorHAnsi"/>
          <w:i/>
          <w:iCs/>
          <w:sz w:val="22"/>
          <w:szCs w:val="22"/>
        </w:rPr>
        <w:t>Statement of Use</w:t>
      </w:r>
      <w:r w:rsidRPr="004A53E7">
        <w:rPr>
          <w:rFonts w:asciiTheme="minorHAnsi" w:hAnsiTheme="minorHAnsi"/>
          <w:sz w:val="22"/>
          <w:szCs w:val="22"/>
        </w:rPr>
        <w:t xml:space="preserve">", with respect to a Committee Specification, is a written statement that a party has successfully used or implemented that specification in accordance with all or some of its conformance clauses specified in </w:t>
      </w:r>
      <w:r w:rsidRPr="004A53E7">
        <w:rPr>
          <w:rFonts w:asciiTheme="minorHAnsi" w:hAnsiTheme="minorHAnsi"/>
          <w:color w:val="0000FF"/>
          <w:sz w:val="22"/>
          <w:szCs w:val="22"/>
        </w:rPr>
        <w:t>Section 2.18</w:t>
      </w:r>
      <w:r w:rsidRPr="004A53E7">
        <w:rPr>
          <w:rFonts w:asciiTheme="minorHAnsi" w:hAnsiTheme="minorHAnsi"/>
          <w:sz w:val="22"/>
          <w:szCs w:val="22"/>
        </w:rPr>
        <w:t xml:space="preserve">, identifying those clauses that apply, and stating whether its use included the interoperation of multiple independent implementations. The Statement of Use must be made to a specific version of the Committee Specification and must </w:t>
      </w:r>
      <w:proofErr w:type="gramStart"/>
      <w:r w:rsidRPr="004A53E7">
        <w:rPr>
          <w:rFonts w:asciiTheme="minorHAnsi" w:hAnsiTheme="minorHAnsi"/>
          <w:sz w:val="22"/>
          <w:szCs w:val="22"/>
        </w:rPr>
        <w:t>include</w:t>
      </w:r>
      <w:proofErr w:type="gramEnd"/>
      <w:r w:rsidRPr="004A53E7">
        <w:rPr>
          <w:rFonts w:asciiTheme="minorHAnsi" w:hAnsiTheme="minorHAnsi"/>
          <w:sz w:val="22"/>
          <w:szCs w:val="22"/>
        </w:rPr>
        <w:t xml:space="preserve"> the Specification's approval date. The party may be an OASIS Member or a non-member. In case of a non-member, the Statement of Use must be submitted on the TC comment-list. A TC may require a Statement of Use to include hyperlinks to documents, files or demonstration transcripts that enable TC members to evaluate the implementation or usage. A Statement of Use submitted to the TC must be approved by TC resolution as an acceptable Statement of Use with respect to the Committee Specification. A party can only issue one Statement of Use for a given specification. When issued by an OASIS Organizational Member, a Statement of Use must be endorsed by the Organizational Member's Primary Representative. </w:t>
      </w:r>
    </w:p>
    <w:p w:rsidR="004A53E7" w:rsidRDefault="004A53E7" w:rsidP="004A53E7">
      <w:pPr>
        <w:pStyle w:val="Default"/>
        <w:rPr>
          <w:sz w:val="20"/>
          <w:szCs w:val="20"/>
        </w:rPr>
      </w:pPr>
    </w:p>
    <w:p w:rsidR="0013388E" w:rsidRDefault="0013388E"/>
    <w:p w:rsidR="004A53E7" w:rsidRPr="0013388E" w:rsidRDefault="004A53E7">
      <w:pPr>
        <w:rPr>
          <w:b/>
        </w:rPr>
      </w:pPr>
      <w:r w:rsidRPr="0013388E">
        <w:rPr>
          <w:b/>
        </w:rPr>
        <w:t>Chet Ensign’s guidance on wording of Statements of Use:</w:t>
      </w:r>
    </w:p>
    <w:p w:rsidR="004A53E7" w:rsidRPr="004A53E7" w:rsidRDefault="004A53E7" w:rsidP="004A53E7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4A53E7">
        <w:rPr>
          <w:rFonts w:asciiTheme="minorHAnsi" w:hAnsiTheme="minorHAnsi"/>
          <w:sz w:val="22"/>
          <w:szCs w:val="22"/>
        </w:rPr>
        <w:t xml:space="preserve">If you have a statement along the lines of "Ministry xx of the government of NZ is using TGF PL v1.0 in its </w:t>
      </w:r>
      <w:proofErr w:type="spellStart"/>
      <w:r w:rsidRPr="004A53E7">
        <w:rPr>
          <w:rFonts w:asciiTheme="minorHAnsi" w:hAnsiTheme="minorHAnsi"/>
          <w:sz w:val="22"/>
          <w:szCs w:val="22"/>
        </w:rPr>
        <w:t>yyy</w:t>
      </w:r>
      <w:proofErr w:type="spellEnd"/>
      <w:r w:rsidRPr="004A53E7">
        <w:rPr>
          <w:rFonts w:asciiTheme="minorHAnsi" w:hAnsiTheme="minorHAnsi"/>
          <w:sz w:val="22"/>
          <w:szCs w:val="22"/>
        </w:rPr>
        <w:t xml:space="preserve"> system in compliance with clauses x, y and z. This application does not require interoperation of multiple implementations." then you have met the requirements of the definition.</w:t>
      </w:r>
      <w:r>
        <w:rPr>
          <w:rFonts w:asciiTheme="minorHAnsi" w:hAnsiTheme="minorHAnsi"/>
          <w:sz w:val="22"/>
          <w:szCs w:val="22"/>
        </w:rPr>
        <w:t>”</w:t>
      </w:r>
    </w:p>
    <w:p w:rsidR="004A53E7" w:rsidRDefault="004A53E7"/>
    <w:p w:rsidR="004A53E7" w:rsidRPr="0013388E" w:rsidRDefault="0013388E" w:rsidP="0013388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 </w:t>
      </w:r>
      <w:r w:rsidRPr="0013388E">
        <w:rPr>
          <w:b/>
        </w:rPr>
        <w:t>Suggested wording for consultants and the like:</w:t>
      </w:r>
    </w:p>
    <w:p w:rsidR="0013388E" w:rsidRDefault="0013388E" w:rsidP="0013388E">
      <w:pPr>
        <w:pStyle w:val="PlainText"/>
        <w:rPr>
          <w:rFonts w:asciiTheme="minorHAnsi" w:hAnsiTheme="minorHAnsi"/>
          <w:sz w:val="22"/>
          <w:szCs w:val="22"/>
        </w:rPr>
      </w:pPr>
      <w:r>
        <w:t>“</w:t>
      </w:r>
      <w:r w:rsidRPr="0013388E">
        <w:rPr>
          <w:rFonts w:asciiTheme="minorHAnsi" w:hAnsiTheme="minorHAnsi"/>
          <w:sz w:val="22"/>
          <w:szCs w:val="22"/>
        </w:rPr>
        <w:t>We</w:t>
      </w:r>
      <w:r>
        <w:rPr>
          <w:rFonts w:asciiTheme="minorHAnsi" w:hAnsiTheme="minorHAnsi"/>
          <w:sz w:val="22"/>
          <w:szCs w:val="22"/>
        </w:rPr>
        <w:t xml:space="preserve"> are</w:t>
      </w:r>
      <w:r w:rsidRPr="0013388E">
        <w:rPr>
          <w:rFonts w:asciiTheme="minorHAnsi" w:hAnsiTheme="minorHAnsi"/>
          <w:sz w:val="22"/>
          <w:szCs w:val="22"/>
        </w:rPr>
        <w:t xml:space="preserve"> using the TGF Transformational Government Framework (TGF) Pattern Language Core Patterns Version 1.0 Committee Specification 01</w:t>
      </w:r>
      <w:r>
        <w:rPr>
          <w:rFonts w:asciiTheme="minorHAnsi" w:hAnsiTheme="minorHAnsi"/>
          <w:sz w:val="22"/>
          <w:szCs w:val="22"/>
        </w:rPr>
        <w:t xml:space="preserve"> dated </w:t>
      </w:r>
      <w:r w:rsidRPr="0013388E">
        <w:rPr>
          <w:rFonts w:asciiTheme="minorHAnsi" w:hAnsiTheme="minorHAnsi"/>
          <w:sz w:val="22"/>
          <w:szCs w:val="22"/>
        </w:rPr>
        <w:t>11 January 2012</w:t>
      </w:r>
      <w:r>
        <w:rPr>
          <w:rFonts w:asciiTheme="minorHAnsi" w:hAnsiTheme="minorHAnsi"/>
          <w:sz w:val="22"/>
          <w:szCs w:val="22"/>
        </w:rPr>
        <w:t xml:space="preserve"> as part of our services </w:t>
      </w:r>
      <w:r>
        <w:rPr>
          <w:rFonts w:asciiTheme="minorHAnsi" w:hAnsiTheme="minorHAnsi"/>
          <w:sz w:val="22"/>
          <w:szCs w:val="22"/>
        </w:rPr>
        <w:lastRenderedPageBreak/>
        <w:t xml:space="preserve">offerings to our clients and advising them of the appropriateness of the conformance clauses to their situation.  </w:t>
      </w:r>
      <w:r w:rsidRPr="004A53E7">
        <w:rPr>
          <w:rFonts w:asciiTheme="minorHAnsi" w:hAnsiTheme="minorHAnsi"/>
          <w:sz w:val="22"/>
          <w:szCs w:val="22"/>
        </w:rPr>
        <w:t>This does not require interoperation of multiple implementations.</w:t>
      </w:r>
      <w:r>
        <w:rPr>
          <w:rFonts w:asciiTheme="minorHAnsi" w:hAnsiTheme="minorHAnsi"/>
          <w:sz w:val="22"/>
          <w:szCs w:val="22"/>
        </w:rPr>
        <w:t>”</w:t>
      </w:r>
    </w:p>
    <w:p w:rsidR="0013388E" w:rsidRDefault="0013388E" w:rsidP="0013388E">
      <w:pPr>
        <w:pStyle w:val="PlainText"/>
        <w:rPr>
          <w:rFonts w:asciiTheme="minorHAnsi" w:hAnsiTheme="minorHAnsi"/>
          <w:sz w:val="22"/>
          <w:szCs w:val="22"/>
        </w:rPr>
      </w:pPr>
    </w:p>
    <w:p w:rsidR="0013388E" w:rsidRPr="0013388E" w:rsidRDefault="0013388E" w:rsidP="0013388E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3388E">
        <w:rPr>
          <w:rFonts w:asciiTheme="minorHAnsi" w:hAnsiTheme="minorHAnsi"/>
          <w:b/>
          <w:sz w:val="22"/>
          <w:szCs w:val="22"/>
        </w:rPr>
        <w:t>Suggested wording for government agencies and the like:</w:t>
      </w:r>
    </w:p>
    <w:p w:rsidR="0013388E" w:rsidRDefault="0013388E" w:rsidP="0013388E">
      <w:pPr>
        <w:pStyle w:val="PlainText"/>
        <w:rPr>
          <w:rFonts w:asciiTheme="minorHAnsi" w:hAnsiTheme="minorHAnsi"/>
          <w:sz w:val="22"/>
          <w:szCs w:val="22"/>
        </w:rPr>
      </w:pPr>
      <w:r>
        <w:t>“</w:t>
      </w:r>
      <w:r>
        <w:rPr>
          <w:rFonts w:asciiTheme="minorHAnsi" w:hAnsiTheme="minorHAnsi"/>
          <w:sz w:val="22"/>
          <w:szCs w:val="22"/>
        </w:rPr>
        <w:t xml:space="preserve">The [Ministry/Department/Local Government </w:t>
      </w:r>
      <w:r w:rsidR="00914B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XXX] of </w:t>
      </w:r>
      <w:r w:rsidR="00914BD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[UK] is </w:t>
      </w:r>
      <w:r w:rsidRPr="0013388E">
        <w:rPr>
          <w:rFonts w:asciiTheme="minorHAnsi" w:hAnsiTheme="minorHAnsi"/>
          <w:sz w:val="22"/>
          <w:szCs w:val="22"/>
        </w:rPr>
        <w:t xml:space="preserve"> using the TGF Transformational Government Framework (TGF) Pattern Language Core Patterns Version 1.0 Committee Specification 01</w:t>
      </w:r>
      <w:r>
        <w:rPr>
          <w:rFonts w:asciiTheme="minorHAnsi" w:hAnsiTheme="minorHAnsi"/>
          <w:sz w:val="22"/>
          <w:szCs w:val="22"/>
        </w:rPr>
        <w:t xml:space="preserve"> dated </w:t>
      </w:r>
      <w:r w:rsidRPr="0013388E">
        <w:rPr>
          <w:rFonts w:asciiTheme="minorHAnsi" w:hAnsiTheme="minorHAnsi"/>
          <w:sz w:val="22"/>
          <w:szCs w:val="22"/>
        </w:rPr>
        <w:t>11 January 2012</w:t>
      </w:r>
      <w:r>
        <w:rPr>
          <w:rFonts w:asciiTheme="minorHAnsi" w:hAnsiTheme="minorHAnsi"/>
          <w:sz w:val="22"/>
          <w:szCs w:val="22"/>
        </w:rPr>
        <w:t xml:space="preserve"> in the delivery of our public services in compliance with conformance clauses [</w:t>
      </w:r>
      <w:proofErr w:type="spellStart"/>
      <w:r>
        <w:rPr>
          <w:rFonts w:asciiTheme="minorHAnsi" w:hAnsiTheme="minorHAnsi"/>
          <w:sz w:val="22"/>
          <w:szCs w:val="22"/>
        </w:rPr>
        <w:t>x,y,z</w:t>
      </w:r>
      <w:proofErr w:type="spellEnd"/>
      <w:r>
        <w:rPr>
          <w:rFonts w:asciiTheme="minorHAnsi" w:hAnsiTheme="minorHAnsi"/>
          <w:sz w:val="22"/>
          <w:szCs w:val="22"/>
        </w:rPr>
        <w:t>].  These services</w:t>
      </w:r>
      <w:r w:rsidRPr="004A53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</w:t>
      </w:r>
      <w:r w:rsidRPr="004A53E7">
        <w:rPr>
          <w:rFonts w:asciiTheme="minorHAnsi" w:hAnsiTheme="minorHAnsi"/>
          <w:sz w:val="22"/>
          <w:szCs w:val="22"/>
        </w:rPr>
        <w:t xml:space="preserve"> not require interoperation of multiple implementations.</w:t>
      </w:r>
      <w:r>
        <w:rPr>
          <w:rFonts w:asciiTheme="minorHAnsi" w:hAnsiTheme="minorHAnsi"/>
          <w:sz w:val="22"/>
          <w:szCs w:val="22"/>
        </w:rPr>
        <w:t>”</w:t>
      </w:r>
    </w:p>
    <w:p w:rsidR="0013388E" w:rsidRPr="0013388E" w:rsidRDefault="0013388E" w:rsidP="0013388E">
      <w:pPr>
        <w:pStyle w:val="PlainText"/>
        <w:rPr>
          <w:rFonts w:asciiTheme="minorHAnsi" w:hAnsiTheme="minorHAnsi"/>
          <w:sz w:val="22"/>
          <w:szCs w:val="22"/>
        </w:rPr>
      </w:pPr>
    </w:p>
    <w:p w:rsidR="0013388E" w:rsidRDefault="0013388E"/>
    <w:p w:rsidR="004A53E7" w:rsidRDefault="004A53E7"/>
    <w:p w:rsidR="004A53E7" w:rsidRDefault="004A53E7"/>
    <w:sectPr w:rsidR="004A53E7" w:rsidSect="00AD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63E542"/>
    <w:multiLevelType w:val="hybridMultilevel"/>
    <w:tmpl w:val="429708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F7233"/>
    <w:multiLevelType w:val="hybridMultilevel"/>
    <w:tmpl w:val="BE707B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23C9"/>
    <w:multiLevelType w:val="multilevel"/>
    <w:tmpl w:val="30C2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67C24"/>
    <w:multiLevelType w:val="multilevel"/>
    <w:tmpl w:val="656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3E7"/>
    <w:rsid w:val="000562F6"/>
    <w:rsid w:val="0013388E"/>
    <w:rsid w:val="004A53E7"/>
    <w:rsid w:val="00914BDC"/>
    <w:rsid w:val="00AD2966"/>
    <w:rsid w:val="00D0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66"/>
  </w:style>
  <w:style w:type="paragraph" w:styleId="Heading4">
    <w:name w:val="heading 4"/>
    <w:basedOn w:val="Normal"/>
    <w:link w:val="Heading4Char"/>
    <w:uiPriority w:val="9"/>
    <w:qFormat/>
    <w:rsid w:val="004A53E7"/>
    <w:pPr>
      <w:spacing w:before="100" w:beforeAutospacing="1" w:after="120" w:line="360" w:lineRule="atLeast"/>
      <w:outlineLvl w:val="3"/>
    </w:pPr>
    <w:rPr>
      <w:rFonts w:ascii="Times New Roman" w:eastAsia="Times New Roman" w:hAnsi="Times New Roman" w:cs="Times New Roman"/>
      <w:smallCaps/>
      <w:color w:val="A1985A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53E7"/>
    <w:rPr>
      <w:rFonts w:ascii="Times New Roman" w:eastAsia="Times New Roman" w:hAnsi="Times New Roman" w:cs="Times New Roman"/>
      <w:smallCaps/>
      <w:color w:val="A1985A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53E7"/>
    <w:pPr>
      <w:spacing w:before="100" w:beforeAutospacing="1" w:after="120" w:line="360" w:lineRule="atLeas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efault">
    <w:name w:val="Default"/>
    <w:rsid w:val="004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53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3E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3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62">
      <w:bodyDiv w:val="1"/>
      <w:marLeft w:val="0"/>
      <w:marRight w:val="0"/>
      <w:marTop w:val="0"/>
      <w:marBottom w:val="0"/>
      <w:divBdr>
        <w:top w:val="single" w:sz="48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080322994">
          <w:marLeft w:val="0"/>
          <w:marRight w:val="0"/>
          <w:marTop w:val="0"/>
          <w:marBottom w:val="480"/>
          <w:divBdr>
            <w:top w:val="single" w:sz="48" w:space="12" w:color="66116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sis-open.org/resources/tc-admin-requ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Borras</dc:creator>
  <cp:keywords/>
  <dc:description/>
  <cp:lastModifiedBy>John Borras</cp:lastModifiedBy>
  <cp:revision>1</cp:revision>
  <dcterms:created xsi:type="dcterms:W3CDTF">2012-10-22T08:17:00Z</dcterms:created>
  <dcterms:modified xsi:type="dcterms:W3CDTF">2012-10-22T08:45:00Z</dcterms:modified>
</cp:coreProperties>
</file>