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81" w:rsidRDefault="00013E29" w:rsidP="00C74781">
      <w:pPr>
        <w:pStyle w:val="Title"/>
        <w:rPr>
          <w:lang w:val="en-US"/>
        </w:rPr>
      </w:pPr>
      <w:r>
        <w:rPr>
          <w:lang w:val="en-US"/>
        </w:rPr>
        <w:t xml:space="preserve">Payment </w:t>
      </w:r>
      <w:r w:rsidR="00C74781" w:rsidRPr="00C74781">
        <w:rPr>
          <w:lang w:val="en-US"/>
        </w:rPr>
        <w:t>Remittance</w:t>
      </w:r>
    </w:p>
    <w:sdt>
      <w:sdtPr>
        <w:id w:val="10910496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it-IT" w:eastAsia="en-US"/>
        </w:rPr>
      </w:sdtEndPr>
      <w:sdtContent>
        <w:p w:rsidR="00013E29" w:rsidRDefault="00013E29">
          <w:pPr>
            <w:pStyle w:val="TOCHeading"/>
          </w:pPr>
          <w:r>
            <w:t>Contents</w:t>
          </w:r>
        </w:p>
        <w:p w:rsidR="00795149" w:rsidRDefault="00013E29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350655" w:history="1">
            <w:r w:rsidR="00795149" w:rsidRPr="00761716">
              <w:rPr>
                <w:rStyle w:val="Hyperlink"/>
                <w:noProof/>
                <w:lang w:val="en-US"/>
              </w:rPr>
              <w:t>1</w:t>
            </w:r>
            <w:r w:rsidR="00795149">
              <w:rPr>
                <w:rFonts w:eastAsiaTheme="minorEastAsia"/>
                <w:noProof/>
                <w:lang w:eastAsia="it-IT"/>
              </w:rPr>
              <w:tab/>
            </w:r>
            <w:r w:rsidR="00795149" w:rsidRPr="00761716">
              <w:rPr>
                <w:rStyle w:val="Hyperlink"/>
                <w:noProof/>
                <w:lang w:val="en-US"/>
              </w:rPr>
              <w:t>Preface</w:t>
            </w:r>
            <w:r w:rsidR="00795149">
              <w:rPr>
                <w:noProof/>
                <w:webHidden/>
              </w:rPr>
              <w:tab/>
            </w:r>
            <w:r w:rsidR="00795149">
              <w:rPr>
                <w:noProof/>
                <w:webHidden/>
              </w:rPr>
              <w:fldChar w:fldCharType="begin"/>
            </w:r>
            <w:r w:rsidR="00795149">
              <w:rPr>
                <w:noProof/>
                <w:webHidden/>
              </w:rPr>
              <w:instrText xml:space="preserve"> PAGEREF _Toc509350655 \h </w:instrText>
            </w:r>
            <w:r w:rsidR="00795149">
              <w:rPr>
                <w:noProof/>
                <w:webHidden/>
              </w:rPr>
            </w:r>
            <w:r w:rsidR="00795149"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2</w:t>
            </w:r>
            <w:r w:rsidR="00795149"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56" w:history="1">
            <w:r w:rsidRPr="00761716">
              <w:rPr>
                <w:rStyle w:val="Hyperlink"/>
                <w:noProof/>
                <w:lang w:val="en-US"/>
              </w:rPr>
              <w:t>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UBL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57" w:history="1">
            <w:r w:rsidRPr="00761716">
              <w:rPr>
                <w:rStyle w:val="Hyperlink"/>
                <w:noProof/>
                <w:lang w:val="en-US"/>
              </w:rPr>
              <w:t>2.1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Actual UBL Remittance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58" w:history="1">
            <w:r w:rsidRPr="00761716">
              <w:rPr>
                <w:rStyle w:val="Hyperlink"/>
                <w:noProof/>
                <w:lang w:val="en-US"/>
              </w:rPr>
              <w:t>3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ISO 20022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59" w:history="1">
            <w:r w:rsidRPr="00761716">
              <w:rPr>
                <w:rStyle w:val="Hyperlink"/>
                <w:noProof/>
                <w:lang w:val="en-US"/>
              </w:rPr>
              <w:t>3.1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Remittance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60" w:history="1">
            <w:r w:rsidRPr="00761716">
              <w:rPr>
                <w:rStyle w:val="Hyperlink"/>
                <w:noProof/>
                <w:lang w:val="en-US"/>
              </w:rPr>
              <w:t>3.1.1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End-To-End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61" w:history="1">
            <w:r w:rsidRPr="00761716">
              <w:rPr>
                <w:rStyle w:val="Hyperlink"/>
                <w:noProof/>
                <w:lang w:val="en-US"/>
              </w:rPr>
              <w:t>3.1.2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Creditor Reference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62" w:history="1">
            <w:r w:rsidRPr="00761716">
              <w:rPr>
                <w:rStyle w:val="Hyperlink"/>
                <w:noProof/>
                <w:lang w:val="en-US"/>
              </w:rPr>
              <w:t>4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UBL Payment Reconciliation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63" w:history="1">
            <w:r w:rsidRPr="00761716">
              <w:rPr>
                <w:rStyle w:val="Hyperlink"/>
                <w:noProof/>
                <w:lang w:val="en-US"/>
              </w:rPr>
              <w:t>4.1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Invoicing Party 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149" w:rsidRDefault="00795149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9350664" w:history="1">
            <w:r w:rsidRPr="00761716">
              <w:rPr>
                <w:rStyle w:val="Hyperlink"/>
                <w:noProof/>
                <w:lang w:val="en-US"/>
              </w:rPr>
              <w:t>4.2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761716">
              <w:rPr>
                <w:rStyle w:val="Hyperlink"/>
                <w:noProof/>
                <w:lang w:val="en-US"/>
              </w:rPr>
              <w:t>Payment Remit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_Toc509350664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7F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E29" w:rsidRDefault="00013E29">
          <w:r>
            <w:rPr>
              <w:b/>
              <w:bCs/>
              <w:noProof/>
            </w:rPr>
            <w:fldChar w:fldCharType="end"/>
          </w:r>
        </w:p>
      </w:sdtContent>
    </w:sdt>
    <w:p w:rsidR="00013E29" w:rsidRDefault="00013E29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:rsidR="00013E29" w:rsidRPr="00013E29" w:rsidRDefault="00013E29" w:rsidP="00013E29">
      <w:pPr>
        <w:pStyle w:val="Heading1"/>
        <w:rPr>
          <w:lang w:val="en-US"/>
        </w:rPr>
      </w:pPr>
      <w:bookmarkStart w:id="1" w:name="_Toc509350655"/>
      <w:r>
        <w:rPr>
          <w:lang w:val="en-US"/>
        </w:rPr>
        <w:lastRenderedPageBreak/>
        <w:t>Preface</w:t>
      </w:r>
      <w:bookmarkEnd w:id="1"/>
    </w:p>
    <w:p w:rsidR="00A54A9E" w:rsidRDefault="00A54A9E" w:rsidP="00A54A9E">
      <w:pPr>
        <w:rPr>
          <w:lang w:val="en-US"/>
        </w:rPr>
      </w:pPr>
      <w:r>
        <w:rPr>
          <w:lang w:val="en-US"/>
        </w:rPr>
        <w:t>In order to facilitate the automatic reconciliation of payments with account receivable (invoices) both OASIS UBL (</w:t>
      </w:r>
      <w:r w:rsidRPr="00A54A9E">
        <w:rPr>
          <w:lang w:val="en-US"/>
        </w:rPr>
        <w:t>ISO/IEC 19845</w:t>
      </w:r>
      <w:r>
        <w:rPr>
          <w:lang w:val="en-US"/>
        </w:rPr>
        <w:t>)</w:t>
      </w:r>
      <w:r w:rsidRPr="00A54A9E">
        <w:rPr>
          <w:lang w:val="en-US"/>
        </w:rPr>
        <w:t xml:space="preserve"> </w:t>
      </w:r>
      <w:r>
        <w:rPr>
          <w:lang w:val="en-US"/>
        </w:rPr>
        <w:t>and ISO20022 international standards are currently providing some</w:t>
      </w:r>
      <w:r w:rsidR="003D1197">
        <w:rPr>
          <w:lang w:val="en-US"/>
        </w:rPr>
        <w:t xml:space="preserve"> useful</w:t>
      </w:r>
      <w:r>
        <w:rPr>
          <w:lang w:val="en-US"/>
        </w:rPr>
        <w:t xml:space="preserve"> electronic business messages.</w:t>
      </w:r>
    </w:p>
    <w:p w:rsidR="00A54A9E" w:rsidRPr="00A54A9E" w:rsidRDefault="00A54A9E" w:rsidP="00A54A9E">
      <w:pPr>
        <w:rPr>
          <w:lang w:val="en-US"/>
        </w:rPr>
      </w:pPr>
      <w:r>
        <w:rPr>
          <w:lang w:val="en-US"/>
        </w:rPr>
        <w:t xml:space="preserve">UBL covers the trade while ISO20022 covers the financial </w:t>
      </w:r>
      <w:proofErr w:type="gramStart"/>
      <w:r>
        <w:rPr>
          <w:lang w:val="en-US"/>
        </w:rPr>
        <w:t>sector,</w:t>
      </w:r>
      <w:proofErr w:type="gramEnd"/>
      <w:r>
        <w:rPr>
          <w:lang w:val="en-US"/>
        </w:rPr>
        <w:t xml:space="preserve"> together they support the whole Financial Supply Chain.</w:t>
      </w:r>
    </w:p>
    <w:p w:rsidR="00253542" w:rsidRPr="003D1197" w:rsidRDefault="00253542" w:rsidP="00DB367A">
      <w:pPr>
        <w:pStyle w:val="ListParagraph"/>
        <w:numPr>
          <w:ilvl w:val="0"/>
          <w:numId w:val="3"/>
        </w:numPr>
        <w:rPr>
          <w:rStyle w:val="Strong"/>
        </w:rPr>
      </w:pPr>
      <w:r w:rsidRPr="003D1197">
        <w:rPr>
          <w:rStyle w:val="Strong"/>
        </w:rPr>
        <w:t>Internal remittance</w:t>
      </w:r>
    </w:p>
    <w:p w:rsidR="00396F66" w:rsidRDefault="00396F66" w:rsidP="00396F66">
      <w:pPr>
        <w:pStyle w:val="ListParagraph"/>
        <w:ind w:left="1065"/>
        <w:rPr>
          <w:lang w:val="en-US"/>
        </w:rPr>
      </w:pPr>
      <w:r>
        <w:rPr>
          <w:lang w:val="en-US"/>
        </w:rPr>
        <w:t>The internal remittance is possible only when remittance data is provided along with the payment initiation process until the payment execution process.</w:t>
      </w:r>
    </w:p>
    <w:p w:rsidR="00396F66" w:rsidRPr="00DB367A" w:rsidRDefault="00396F66" w:rsidP="00396F66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It is subject to the Clearing &amp; Settlement financial channel (inter-bank network) and thus inherits its possible limits. </w:t>
      </w:r>
      <w:r w:rsidR="003D1197">
        <w:rPr>
          <w:lang w:val="en-US"/>
        </w:rPr>
        <w:t>The</w:t>
      </w:r>
      <w:r>
        <w:rPr>
          <w:lang w:val="en-US"/>
        </w:rPr>
        <w:t xml:space="preserve"> bottleneck is often represented by old information systems</w:t>
      </w:r>
      <w:r w:rsidR="003D1197">
        <w:rPr>
          <w:lang w:val="en-US"/>
        </w:rPr>
        <w:t xml:space="preserve"> (see 140 chars limit for unstructured remittance info)</w:t>
      </w:r>
      <w:r>
        <w:rPr>
          <w:lang w:val="en-US"/>
        </w:rPr>
        <w:t>.</w:t>
      </w:r>
    </w:p>
    <w:p w:rsidR="00DB367A" w:rsidRPr="003D1197" w:rsidRDefault="00253542" w:rsidP="004271E1">
      <w:pPr>
        <w:pStyle w:val="ListParagraph"/>
        <w:numPr>
          <w:ilvl w:val="0"/>
          <w:numId w:val="3"/>
        </w:numPr>
        <w:rPr>
          <w:rStyle w:val="Strong"/>
        </w:rPr>
      </w:pPr>
      <w:r w:rsidRPr="003D1197">
        <w:rPr>
          <w:rStyle w:val="Strong"/>
        </w:rPr>
        <w:t>External remittance</w:t>
      </w:r>
    </w:p>
    <w:p w:rsidR="00396F66" w:rsidRDefault="00396F66" w:rsidP="00396F66">
      <w:pPr>
        <w:pStyle w:val="ListParagraph"/>
        <w:ind w:left="1065"/>
        <w:rPr>
          <w:lang w:val="en-US"/>
        </w:rPr>
      </w:pPr>
      <w:r>
        <w:rPr>
          <w:lang w:val="en-US"/>
        </w:rPr>
        <w:t>The external remittance provides the possibility to exchange remittance data outside the financial channel, directly between the debtor and the creditor.</w:t>
      </w:r>
    </w:p>
    <w:p w:rsidR="00DB367A" w:rsidRDefault="00DB367A" w:rsidP="00DB367A">
      <w:pPr>
        <w:pStyle w:val="ListParagraph"/>
        <w:ind w:left="1065"/>
        <w:rPr>
          <w:lang w:val="en-US"/>
        </w:rPr>
      </w:pPr>
      <w:r w:rsidRPr="00DB367A">
        <w:rPr>
          <w:lang w:val="en-US"/>
        </w:rPr>
        <w:t xml:space="preserve">UBL </w:t>
      </w:r>
      <w:r w:rsidR="00396F66">
        <w:rPr>
          <w:lang w:val="en-US"/>
        </w:rPr>
        <w:t xml:space="preserve">2.1 has </w:t>
      </w:r>
      <w:r w:rsidRPr="00DB367A">
        <w:rPr>
          <w:lang w:val="en-US"/>
        </w:rPr>
        <w:t>provide</w:t>
      </w:r>
      <w:r w:rsidR="00396F66">
        <w:rPr>
          <w:lang w:val="en-US"/>
        </w:rPr>
        <w:t>d a rapid and early</w:t>
      </w:r>
      <w:r w:rsidRPr="00DB367A">
        <w:rPr>
          <w:lang w:val="en-US"/>
        </w:rPr>
        <w:t xml:space="preserve"> solution for advanced external remittance, where the UBL Remittance Advice is used to transmit the details of complex remittance information associated with the payment initiation process.</w:t>
      </w:r>
    </w:p>
    <w:p w:rsidR="00396F66" w:rsidRDefault="003D1197" w:rsidP="00DB367A">
      <w:pPr>
        <w:pStyle w:val="ListParagraph"/>
        <w:ind w:left="1065"/>
        <w:rPr>
          <w:lang w:val="en-US"/>
        </w:rPr>
      </w:pPr>
      <w:r>
        <w:rPr>
          <w:lang w:val="en-US"/>
        </w:rPr>
        <w:t xml:space="preserve">Similarly, </w:t>
      </w:r>
      <w:r w:rsidR="00396F66">
        <w:rPr>
          <w:lang w:val="en-US"/>
        </w:rPr>
        <w:t xml:space="preserve">ISO 20022 has more recently added a </w:t>
      </w:r>
      <w:r>
        <w:rPr>
          <w:lang w:val="en-US"/>
        </w:rPr>
        <w:t xml:space="preserve">stand-alone </w:t>
      </w:r>
      <w:r w:rsidR="00396F66" w:rsidRPr="00396F66">
        <w:rPr>
          <w:lang w:val="en-US"/>
        </w:rPr>
        <w:t>Remittance</w:t>
      </w:r>
      <w:r>
        <w:rPr>
          <w:lang w:val="en-US"/>
        </w:rPr>
        <w:t xml:space="preserve"> </w:t>
      </w:r>
      <w:r w:rsidR="00396F66" w:rsidRPr="00396F66">
        <w:rPr>
          <w:lang w:val="en-US"/>
        </w:rPr>
        <w:t>Advice</w:t>
      </w:r>
      <w:r>
        <w:rPr>
          <w:lang w:val="en-US"/>
        </w:rPr>
        <w:t xml:space="preserve"> message.</w:t>
      </w:r>
    </w:p>
    <w:p w:rsidR="003D1197" w:rsidRPr="003D1197" w:rsidRDefault="003D1197" w:rsidP="003D1197">
      <w:pPr>
        <w:rPr>
          <w:lang w:val="en-US"/>
        </w:rPr>
      </w:pPr>
      <w:r>
        <w:rPr>
          <w:lang w:val="en-US"/>
        </w:rPr>
        <w:t>The Remittance Advice message is a border message between UBL and ISO20022, but it represents of course more a trade document because it provides billing references for the payment.</w:t>
      </w:r>
    </w:p>
    <w:p w:rsidR="00C74781" w:rsidRDefault="00C74781" w:rsidP="00013E29">
      <w:pPr>
        <w:pStyle w:val="Heading1"/>
        <w:rPr>
          <w:lang w:val="en-US"/>
        </w:rPr>
      </w:pPr>
      <w:bookmarkStart w:id="2" w:name="_Toc509350656"/>
      <w:r>
        <w:rPr>
          <w:lang w:val="en-US"/>
        </w:rPr>
        <w:t>UBL</w:t>
      </w:r>
      <w:bookmarkEnd w:id="2"/>
    </w:p>
    <w:p w:rsidR="003D1197" w:rsidRDefault="003D1197" w:rsidP="003D1197">
      <w:pPr>
        <w:rPr>
          <w:lang w:val="en-US"/>
        </w:rPr>
      </w:pPr>
      <w:r>
        <w:rPr>
          <w:lang w:val="en-US"/>
        </w:rPr>
        <w:t>Following are the relevant UBL messages used for payment reconciliation.</w:t>
      </w: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3442"/>
        <w:gridCol w:w="1448"/>
      </w:tblGrid>
      <w:tr w:rsidR="003D1197" w:rsidTr="003D1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</w:tcPr>
          <w:p w:rsidR="003D1197" w:rsidRPr="00572EAE" w:rsidRDefault="003D1197" w:rsidP="003D1197">
            <w:r w:rsidRPr="00572EAE">
              <w:t>Area</w:t>
            </w:r>
          </w:p>
        </w:tc>
        <w:tc>
          <w:tcPr>
            <w:tcW w:w="2444" w:type="dxa"/>
          </w:tcPr>
          <w:p w:rsidR="003D1197" w:rsidRPr="00572EAE" w:rsidRDefault="003D1197" w:rsidP="003D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2EAE">
              <w:t>Transaction</w:t>
            </w:r>
          </w:p>
        </w:tc>
        <w:tc>
          <w:tcPr>
            <w:tcW w:w="3442" w:type="dxa"/>
          </w:tcPr>
          <w:p w:rsidR="003D1197" w:rsidRPr="00572EAE" w:rsidRDefault="003D1197" w:rsidP="003D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2EAE">
              <w:t>Message Version</w:t>
            </w:r>
          </w:p>
        </w:tc>
        <w:tc>
          <w:tcPr>
            <w:tcW w:w="1448" w:type="dxa"/>
          </w:tcPr>
          <w:p w:rsidR="003D1197" w:rsidRDefault="003D1197" w:rsidP="003D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2EAE">
              <w:t>Remittance</w:t>
            </w:r>
          </w:p>
        </w:tc>
      </w:tr>
      <w:tr w:rsidR="003D1197" w:rsidTr="003D1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3D1197" w:rsidRDefault="003D1197" w:rsidP="003D1197">
            <w:pPr>
              <w:rPr>
                <w:lang w:val="en-US"/>
              </w:rPr>
            </w:pPr>
            <w:r w:rsidRPr="003D1197">
              <w:rPr>
                <w:lang w:val="en-US"/>
              </w:rPr>
              <w:t>Stand-alone Remittance Advice</w:t>
            </w:r>
          </w:p>
        </w:tc>
        <w:tc>
          <w:tcPr>
            <w:tcW w:w="2444" w:type="dxa"/>
          </w:tcPr>
          <w:p w:rsid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Debtor to Creditor </w:t>
            </w:r>
            <w:r w:rsidRPr="00C74781">
              <w:rPr>
                <w:lang w:val="en-US"/>
              </w:rPr>
              <w:t xml:space="preserve">Remittance </w:t>
            </w:r>
            <w:r>
              <w:rPr>
                <w:lang w:val="en-US"/>
              </w:rPr>
              <w:t>Advice</w:t>
            </w:r>
          </w:p>
        </w:tc>
        <w:tc>
          <w:tcPr>
            <w:tcW w:w="3442" w:type="dxa"/>
          </w:tcPr>
          <w:p w:rsid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D1197">
              <w:rPr>
                <w:lang w:val="en-US"/>
              </w:rPr>
              <w:t>UBL-RemittanceAdvice-2.1</w:t>
            </w:r>
          </w:p>
        </w:tc>
        <w:tc>
          <w:tcPr>
            <w:tcW w:w="1448" w:type="dxa"/>
          </w:tcPr>
          <w:p w:rsid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External</w:t>
            </w:r>
          </w:p>
        </w:tc>
      </w:tr>
    </w:tbl>
    <w:p w:rsidR="003D1197" w:rsidRDefault="003D1197" w:rsidP="003D1197">
      <w:pPr>
        <w:rPr>
          <w:lang w:val="en-US"/>
        </w:rPr>
      </w:pPr>
    </w:p>
    <w:p w:rsidR="003D1197" w:rsidRDefault="003D1197" w:rsidP="003D1197">
      <w:pPr>
        <w:rPr>
          <w:lang w:val="en-US"/>
        </w:rPr>
      </w:pPr>
      <w:r>
        <w:rPr>
          <w:lang w:val="en-US"/>
        </w:rPr>
        <w:t>UBL supports only the external remittance because payment messages are out of scope for trade and are better supported in finance standards such as ISO 20022.</w:t>
      </w:r>
    </w:p>
    <w:p w:rsidR="003D1197" w:rsidRPr="003D1197" w:rsidRDefault="003D1197" w:rsidP="003D1197">
      <w:pPr>
        <w:pStyle w:val="Heading2"/>
        <w:rPr>
          <w:lang w:val="en-US"/>
        </w:rPr>
      </w:pPr>
      <w:bookmarkStart w:id="3" w:name="_Toc509350657"/>
      <w:r>
        <w:rPr>
          <w:lang w:val="en-US"/>
        </w:rPr>
        <w:t>Actual UBL Remittance Information</w:t>
      </w:r>
      <w:bookmarkEnd w:id="3"/>
    </w:p>
    <w:p w:rsidR="00C74781" w:rsidRDefault="00DA533E" w:rsidP="00C74781">
      <w:pPr>
        <w:rPr>
          <w:lang w:val="en-US"/>
        </w:rPr>
      </w:pPr>
      <w:hyperlink r:id="rId9" w:anchor="S-FINANCIAL-INFORMATION-ENHANCEMENTS-IN-UBL-2.1" w:history="1">
        <w:r w:rsidR="00DB367A" w:rsidRPr="00050C52">
          <w:rPr>
            <w:rStyle w:val="Hyperlink"/>
            <w:lang w:val="en-US"/>
          </w:rPr>
          <w:t>http://docs.oasis-open.org/ubl/os-UBL-2.1/UBL-2.1.html#S-FINANCIAL-INFORMATION-ENHANCEMENTS-IN-UBL-2.1</w:t>
        </w:r>
      </w:hyperlink>
    </w:p>
    <w:p w:rsidR="00C74781" w:rsidRDefault="00DA533E" w:rsidP="00C74781">
      <w:pPr>
        <w:rPr>
          <w:lang w:val="en-US"/>
        </w:rPr>
      </w:pPr>
      <w:hyperlink r:id="rId10" w:anchor="d0e1399" w:history="1">
        <w:r w:rsidR="00DB367A" w:rsidRPr="00050C52">
          <w:rPr>
            <w:rStyle w:val="Hyperlink"/>
            <w:lang w:val="en-US"/>
          </w:rPr>
          <w:t>http://docs.oasis-open.org/ubl/os-UBL-2.1/UBL-2.1.html#d0e1399</w:t>
        </w:r>
      </w:hyperlink>
    </w:p>
    <w:p w:rsidR="003D1197" w:rsidRDefault="00DA533E" w:rsidP="00C74781">
      <w:pPr>
        <w:rPr>
          <w:rStyle w:val="Hyperlink"/>
          <w:lang w:val="en-US"/>
        </w:rPr>
      </w:pPr>
      <w:hyperlink r:id="rId11" w:anchor="S-PAYMENT-NOTIFICATION" w:history="1">
        <w:r w:rsidR="00DB367A" w:rsidRPr="00050C52">
          <w:rPr>
            <w:rStyle w:val="Hyperlink"/>
            <w:lang w:val="en-US"/>
          </w:rPr>
          <w:t>http://docs.oasis-open.org/ubl/os-UBL-2.1/UBL-2.1.html#S-PAYMENT-NOTIFICATION</w:t>
        </w:r>
      </w:hyperlink>
    </w:p>
    <w:p w:rsidR="00013E29" w:rsidRDefault="00013E2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C74781" w:rsidRDefault="00C74781" w:rsidP="00C74781">
      <w:pPr>
        <w:pStyle w:val="Heading1"/>
        <w:rPr>
          <w:lang w:val="en-US"/>
        </w:rPr>
      </w:pPr>
      <w:bookmarkStart w:id="4" w:name="_Toc509350658"/>
      <w:r w:rsidRPr="00C74781">
        <w:rPr>
          <w:lang w:val="en-US"/>
        </w:rPr>
        <w:lastRenderedPageBreak/>
        <w:t>ISO 20022</w:t>
      </w:r>
      <w:bookmarkEnd w:id="4"/>
    </w:p>
    <w:p w:rsidR="003D1197" w:rsidRDefault="003D1197" w:rsidP="003D1197">
      <w:pPr>
        <w:rPr>
          <w:lang w:val="en-US"/>
        </w:rPr>
      </w:pPr>
      <w:bookmarkStart w:id="5" w:name="OLE_LINK31"/>
      <w:bookmarkStart w:id="6" w:name="OLE_LINK32"/>
      <w:r>
        <w:rPr>
          <w:lang w:val="en-US"/>
        </w:rPr>
        <w:t xml:space="preserve">Following are the relevant ISO 20022 messages used for </w:t>
      </w:r>
      <w:bookmarkStart w:id="7" w:name="OLE_LINK29"/>
      <w:bookmarkStart w:id="8" w:name="OLE_LINK30"/>
      <w:r>
        <w:rPr>
          <w:lang w:val="en-US"/>
        </w:rPr>
        <w:t>payment reconciliation</w:t>
      </w:r>
      <w:bookmarkEnd w:id="7"/>
      <w:bookmarkEnd w:id="8"/>
      <w:r>
        <w:rPr>
          <w:lang w:val="en-US"/>
        </w:rPr>
        <w:t>.</w:t>
      </w: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2211"/>
        <w:gridCol w:w="2717"/>
        <w:gridCol w:w="3544"/>
        <w:gridCol w:w="1382"/>
      </w:tblGrid>
      <w:tr w:rsidR="003D1197" w:rsidTr="003D1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</w:tcPr>
          <w:p w:rsidR="003D1197" w:rsidRDefault="003D1197" w:rsidP="003D1197">
            <w:pPr>
              <w:rPr>
                <w:lang w:val="en-US"/>
              </w:rPr>
            </w:pPr>
            <w:bookmarkStart w:id="9" w:name="_Hlk509327386"/>
            <w:bookmarkEnd w:id="5"/>
            <w:bookmarkEnd w:id="6"/>
            <w:r>
              <w:rPr>
                <w:lang w:val="en-US"/>
              </w:rPr>
              <w:t>Area</w:t>
            </w:r>
          </w:p>
        </w:tc>
        <w:tc>
          <w:tcPr>
            <w:tcW w:w="2717" w:type="dxa"/>
          </w:tcPr>
          <w:p w:rsidR="003D1197" w:rsidRPr="003D1197" w:rsidRDefault="003D1197" w:rsidP="003D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Transaction</w:t>
            </w:r>
          </w:p>
        </w:tc>
        <w:tc>
          <w:tcPr>
            <w:tcW w:w="3544" w:type="dxa"/>
          </w:tcPr>
          <w:p w:rsidR="003D1197" w:rsidRPr="003D1197" w:rsidRDefault="003D1197" w:rsidP="003D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Message Version</w:t>
            </w:r>
          </w:p>
        </w:tc>
        <w:tc>
          <w:tcPr>
            <w:tcW w:w="1382" w:type="dxa"/>
          </w:tcPr>
          <w:p w:rsidR="003D1197" w:rsidRDefault="003D1197" w:rsidP="003D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Remittance</w:t>
            </w:r>
          </w:p>
        </w:tc>
      </w:tr>
      <w:bookmarkEnd w:id="9"/>
      <w:tr w:rsidR="003D1197" w:rsidTr="003D1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3D1197" w:rsidRDefault="003D1197" w:rsidP="003D1197">
            <w:pPr>
              <w:rPr>
                <w:lang w:val="en-US"/>
              </w:rPr>
            </w:pPr>
            <w:r>
              <w:rPr>
                <w:lang w:val="en-US"/>
              </w:rPr>
              <w:t>Payment Initiation</w:t>
            </w:r>
          </w:p>
        </w:tc>
        <w:tc>
          <w:tcPr>
            <w:tcW w:w="2717" w:type="dxa"/>
          </w:tcPr>
          <w:p w:rsid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D1197">
              <w:rPr>
                <w:lang w:val="en-US"/>
              </w:rPr>
              <w:t>Cust</w:t>
            </w:r>
            <w:r>
              <w:rPr>
                <w:lang w:val="en-US"/>
              </w:rPr>
              <w:t>omer to Bank Payment Initiation</w:t>
            </w:r>
          </w:p>
        </w:tc>
        <w:tc>
          <w:tcPr>
            <w:tcW w:w="3544" w:type="dxa"/>
          </w:tcPr>
          <w:p w:rsid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D1197">
              <w:rPr>
                <w:lang w:val="en-US"/>
              </w:rPr>
              <w:t>CustomerCreditTransferInitiationV08</w:t>
            </w:r>
          </w:p>
        </w:tc>
        <w:tc>
          <w:tcPr>
            <w:tcW w:w="1382" w:type="dxa"/>
          </w:tcPr>
          <w:p w:rsidR="003D1197" w:rsidRP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10" w:name="OLE_LINK25"/>
            <w:bookmarkStart w:id="11" w:name="OLE_LINK26"/>
            <w:r>
              <w:rPr>
                <w:lang w:val="en-US"/>
              </w:rPr>
              <w:t>Internal</w:t>
            </w:r>
            <w:bookmarkEnd w:id="10"/>
            <w:bookmarkEnd w:id="11"/>
          </w:p>
        </w:tc>
      </w:tr>
      <w:tr w:rsidR="003D1197" w:rsidTr="003D1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3D1197" w:rsidRDefault="003D1197" w:rsidP="003D1197">
            <w:pPr>
              <w:rPr>
                <w:lang w:val="en-US"/>
              </w:rPr>
            </w:pPr>
            <w:r>
              <w:rPr>
                <w:lang w:val="en-US"/>
              </w:rPr>
              <w:t>Payments Clearing &amp; Settlement</w:t>
            </w:r>
          </w:p>
        </w:tc>
        <w:tc>
          <w:tcPr>
            <w:tcW w:w="2717" w:type="dxa"/>
          </w:tcPr>
          <w:p w:rsidR="003D1197" w:rsidRDefault="003D1197" w:rsidP="003D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D1197">
              <w:rPr>
                <w:lang w:val="en-US"/>
              </w:rPr>
              <w:t>Cus</w:t>
            </w:r>
            <w:r>
              <w:rPr>
                <w:lang w:val="en-US"/>
              </w:rPr>
              <w:t>tomer payment (Credit Transfer)</w:t>
            </w:r>
          </w:p>
        </w:tc>
        <w:tc>
          <w:tcPr>
            <w:tcW w:w="3544" w:type="dxa"/>
          </w:tcPr>
          <w:p w:rsidR="003D1197" w:rsidRDefault="003D1197" w:rsidP="003D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D1197">
              <w:rPr>
                <w:lang w:val="en-US"/>
              </w:rPr>
              <w:t>FIToFICustomerCreditTransferV07</w:t>
            </w:r>
          </w:p>
        </w:tc>
        <w:tc>
          <w:tcPr>
            <w:tcW w:w="1382" w:type="dxa"/>
          </w:tcPr>
          <w:p w:rsidR="003D1197" w:rsidRPr="003D1197" w:rsidRDefault="003D1197" w:rsidP="003D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Internal</w:t>
            </w:r>
          </w:p>
        </w:tc>
      </w:tr>
      <w:tr w:rsidR="003D1197" w:rsidTr="003D1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3D1197" w:rsidRDefault="003D1197" w:rsidP="003D1197">
            <w:pPr>
              <w:rPr>
                <w:lang w:val="en-US"/>
              </w:rPr>
            </w:pPr>
            <w:bookmarkStart w:id="12" w:name="OLE_LINK41"/>
            <w:r w:rsidRPr="003D1197">
              <w:rPr>
                <w:lang w:val="en-US"/>
              </w:rPr>
              <w:t>Stand-alone Remittance Advice</w:t>
            </w:r>
            <w:bookmarkEnd w:id="12"/>
          </w:p>
        </w:tc>
        <w:tc>
          <w:tcPr>
            <w:tcW w:w="2717" w:type="dxa"/>
          </w:tcPr>
          <w:p w:rsid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13" w:name="OLE_LINK22"/>
            <w:bookmarkStart w:id="14" w:name="OLE_LINK40"/>
            <w:r>
              <w:rPr>
                <w:lang w:val="en-US"/>
              </w:rPr>
              <w:t xml:space="preserve">Debtor to Creditor </w:t>
            </w:r>
            <w:bookmarkEnd w:id="13"/>
            <w:r w:rsidRPr="00C74781">
              <w:rPr>
                <w:lang w:val="en-US"/>
              </w:rPr>
              <w:t>Remittance Advice</w:t>
            </w:r>
            <w:bookmarkEnd w:id="14"/>
          </w:p>
        </w:tc>
        <w:tc>
          <w:tcPr>
            <w:tcW w:w="3544" w:type="dxa"/>
          </w:tcPr>
          <w:p w:rsidR="003D1197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96F66">
              <w:rPr>
                <w:lang w:val="en-US"/>
              </w:rPr>
              <w:t>RemittanceAdviceV03</w:t>
            </w:r>
          </w:p>
        </w:tc>
        <w:tc>
          <w:tcPr>
            <w:tcW w:w="1382" w:type="dxa"/>
          </w:tcPr>
          <w:p w:rsidR="003D1197" w:rsidRPr="00396F66" w:rsidRDefault="003D1197" w:rsidP="003D1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15" w:name="OLE_LINK27"/>
            <w:bookmarkStart w:id="16" w:name="OLE_LINK28"/>
            <w:r>
              <w:rPr>
                <w:lang w:val="en-US"/>
              </w:rPr>
              <w:t>External</w:t>
            </w:r>
            <w:bookmarkEnd w:id="15"/>
            <w:bookmarkEnd w:id="16"/>
          </w:p>
        </w:tc>
      </w:tr>
      <w:tr w:rsidR="003D1197" w:rsidTr="003D1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3D1197" w:rsidRDefault="003D1197" w:rsidP="003D1197">
            <w:pPr>
              <w:rPr>
                <w:lang w:val="en-US"/>
              </w:rPr>
            </w:pPr>
          </w:p>
        </w:tc>
        <w:tc>
          <w:tcPr>
            <w:tcW w:w="2717" w:type="dxa"/>
          </w:tcPr>
          <w:p w:rsidR="003D1197" w:rsidRDefault="003D1197" w:rsidP="003D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Debtor to Creditor Remittance Location Advice</w:t>
            </w:r>
          </w:p>
        </w:tc>
        <w:tc>
          <w:tcPr>
            <w:tcW w:w="3544" w:type="dxa"/>
          </w:tcPr>
          <w:p w:rsidR="003D1197" w:rsidRDefault="003D1197" w:rsidP="003D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96F66">
              <w:rPr>
                <w:lang w:val="en-US"/>
              </w:rPr>
              <w:t>RemittanceLocationAdviceV01</w:t>
            </w:r>
          </w:p>
        </w:tc>
        <w:tc>
          <w:tcPr>
            <w:tcW w:w="1382" w:type="dxa"/>
          </w:tcPr>
          <w:p w:rsidR="003D1197" w:rsidRPr="00396F66" w:rsidRDefault="003D1197" w:rsidP="003D1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External</w:t>
            </w:r>
          </w:p>
        </w:tc>
      </w:tr>
    </w:tbl>
    <w:p w:rsidR="003D1197" w:rsidRPr="003D1197" w:rsidRDefault="003D1197" w:rsidP="003D1197">
      <w:pPr>
        <w:rPr>
          <w:lang w:val="en-US"/>
        </w:rPr>
      </w:pPr>
    </w:p>
    <w:p w:rsidR="00C74781" w:rsidRPr="00C74781" w:rsidRDefault="00C47E43" w:rsidP="00C47E43">
      <w:pPr>
        <w:rPr>
          <w:lang w:val="en-US"/>
        </w:rPr>
      </w:pPr>
      <w:r>
        <w:rPr>
          <w:lang w:val="en-US"/>
        </w:rPr>
        <w:t>Recently, ISO 20022 introduced t</w:t>
      </w:r>
      <w:r w:rsidR="00C74781" w:rsidRPr="00C74781">
        <w:rPr>
          <w:lang w:val="en-US"/>
        </w:rPr>
        <w:t>he “</w:t>
      </w:r>
      <w:bookmarkStart w:id="17" w:name="OLE_LINK19"/>
      <w:bookmarkStart w:id="18" w:name="OLE_LINK20"/>
      <w:bookmarkStart w:id="19" w:name="OLE_LINK21"/>
      <w:r w:rsidR="00C74781" w:rsidRPr="00C74781">
        <w:rPr>
          <w:lang w:val="en-US"/>
        </w:rPr>
        <w:t>Remittance Location Advice Message</w:t>
      </w:r>
      <w:bookmarkEnd w:id="17"/>
      <w:bookmarkEnd w:id="18"/>
      <w:bookmarkEnd w:id="19"/>
      <w:r w:rsidR="00C74781" w:rsidRPr="00C74781">
        <w:rPr>
          <w:lang w:val="en-US"/>
        </w:rPr>
        <w:t xml:space="preserve">” </w:t>
      </w:r>
      <w:r>
        <w:rPr>
          <w:lang w:val="en-US"/>
        </w:rPr>
        <w:t xml:space="preserve">to permit </w:t>
      </w:r>
      <w:r w:rsidR="00C74781" w:rsidRPr="00C74781">
        <w:rPr>
          <w:lang w:val="en-US"/>
        </w:rPr>
        <w:t>the originator of the message to identify where the remittance advice is located for a related payment.</w:t>
      </w:r>
    </w:p>
    <w:p w:rsidR="00C74781" w:rsidRDefault="00C47E43" w:rsidP="00C47E43">
      <w:pPr>
        <w:pStyle w:val="Heading2"/>
        <w:rPr>
          <w:lang w:val="en-US"/>
        </w:rPr>
      </w:pPr>
      <w:bookmarkStart w:id="20" w:name="_Toc509350659"/>
      <w:r>
        <w:rPr>
          <w:lang w:val="en-US"/>
        </w:rPr>
        <w:t>Remittance Information</w:t>
      </w:r>
      <w:bookmarkEnd w:id="20"/>
    </w:p>
    <w:p w:rsidR="00C74781" w:rsidRDefault="00C47E43" w:rsidP="00C74781">
      <w:pPr>
        <w:rPr>
          <w:lang w:val="en-US"/>
        </w:rPr>
      </w:pPr>
      <w:r>
        <w:rPr>
          <w:lang w:val="en-US"/>
        </w:rPr>
        <w:t xml:space="preserve">ISO20022 allows to provide either structured and/or unstructured remittance information, which is quite advanced, but the financial channel is made up by several parties (Banks, </w:t>
      </w:r>
      <w:proofErr w:type="gramStart"/>
      <w:r>
        <w:rPr>
          <w:lang w:val="en-US"/>
        </w:rPr>
        <w:t>Agents, …)</w:t>
      </w:r>
      <w:proofErr w:type="gramEnd"/>
      <w:r>
        <w:rPr>
          <w:lang w:val="en-US"/>
        </w:rPr>
        <w:t xml:space="preserve"> and the support for structured remittance is not ensured. The same issue exists for the unstructured remittance info because there is a limit of 140 characters that can be multiple (</w:t>
      </w:r>
      <w:r w:rsidR="00C74781" w:rsidRPr="00C74781">
        <w:rPr>
          <w:lang w:val="en-US"/>
        </w:rPr>
        <w:t>0</w:t>
      </w:r>
      <w:proofErr w:type="gramStart"/>
      <w:r w:rsidR="00C74781" w:rsidRPr="00C74781">
        <w:rPr>
          <w:lang w:val="en-US"/>
        </w:rPr>
        <w:t>..n</w:t>
      </w:r>
      <w:proofErr w:type="gramEnd"/>
      <w:r>
        <w:rPr>
          <w:lang w:val="en-US"/>
        </w:rPr>
        <w:t>) but again it is not always supported.</w:t>
      </w:r>
    </w:p>
    <w:p w:rsidR="00C47E43" w:rsidRPr="00C74781" w:rsidRDefault="00C47E43" w:rsidP="00C74781">
      <w:pPr>
        <w:rPr>
          <w:lang w:val="en-US"/>
        </w:rPr>
      </w:pPr>
      <w:r>
        <w:rPr>
          <w:lang w:val="en-US"/>
        </w:rPr>
        <w:t xml:space="preserve">In case of </w:t>
      </w:r>
      <w:r w:rsidR="00AD5586">
        <w:rPr>
          <w:lang w:val="en-US"/>
        </w:rPr>
        <w:t>limitations</w:t>
      </w:r>
      <w:r>
        <w:rPr>
          <w:lang w:val="en-US"/>
        </w:rPr>
        <w:t xml:space="preserve"> the only information that can be safely transported across the clearing &amp; settlement financial chain is the End-to-End Identifier.</w:t>
      </w:r>
    </w:p>
    <w:p w:rsidR="00C74781" w:rsidRDefault="00253542" w:rsidP="00C47E43">
      <w:pPr>
        <w:pStyle w:val="Heading3"/>
        <w:rPr>
          <w:lang w:val="en-US"/>
        </w:rPr>
      </w:pPr>
      <w:bookmarkStart w:id="21" w:name="_Toc509350660"/>
      <w:r>
        <w:rPr>
          <w:lang w:val="en-US"/>
        </w:rPr>
        <w:t xml:space="preserve">End-To-End </w:t>
      </w:r>
      <w:r w:rsidR="00C74781" w:rsidRPr="00C74781">
        <w:rPr>
          <w:lang w:val="en-US"/>
        </w:rPr>
        <w:t>Identification</w:t>
      </w:r>
      <w:bookmarkEnd w:id="21"/>
    </w:p>
    <w:p w:rsidR="00C47E43" w:rsidRPr="00C74781" w:rsidRDefault="00C47E43" w:rsidP="00C47E43">
      <w:pPr>
        <w:spacing w:after="0"/>
        <w:rPr>
          <w:lang w:val="en-US"/>
        </w:rPr>
      </w:pPr>
      <w:r w:rsidRPr="00C74781">
        <w:rPr>
          <w:lang w:val="en-US"/>
        </w:rPr>
        <w:t>Unique identification, as assigned by the initiating party, to unambiguously identify the</w:t>
      </w:r>
    </w:p>
    <w:p w:rsidR="00C47E43" w:rsidRPr="00C74781" w:rsidRDefault="00C47E43" w:rsidP="00C47E43">
      <w:pPr>
        <w:spacing w:after="0"/>
        <w:rPr>
          <w:lang w:val="en-US"/>
        </w:rPr>
      </w:pPr>
      <w:proofErr w:type="gramStart"/>
      <w:r w:rsidRPr="00C74781">
        <w:rPr>
          <w:lang w:val="en-US"/>
        </w:rPr>
        <w:t>transaction</w:t>
      </w:r>
      <w:proofErr w:type="gramEnd"/>
      <w:r w:rsidRPr="00C74781">
        <w:rPr>
          <w:lang w:val="en-US"/>
        </w:rPr>
        <w:t xml:space="preserve">. This identification is </w:t>
      </w:r>
      <w:r w:rsidR="00AD5586">
        <w:rPr>
          <w:lang w:val="en-US"/>
        </w:rPr>
        <w:t xml:space="preserve">guaranteed to be </w:t>
      </w:r>
      <w:r w:rsidRPr="00C74781">
        <w:rPr>
          <w:lang w:val="en-US"/>
        </w:rPr>
        <w:t xml:space="preserve">passed on, unchanged, throughout the entire end-to-end </w:t>
      </w:r>
      <w:r w:rsidR="00AD5586">
        <w:rPr>
          <w:lang w:val="en-US"/>
        </w:rPr>
        <w:t xml:space="preserve">financial </w:t>
      </w:r>
      <w:r w:rsidRPr="00C74781">
        <w:rPr>
          <w:lang w:val="en-US"/>
        </w:rPr>
        <w:t>chain.</w:t>
      </w:r>
    </w:p>
    <w:p w:rsidR="00C47E43" w:rsidRDefault="00C47E43" w:rsidP="00C47E43">
      <w:pPr>
        <w:spacing w:after="0"/>
        <w:rPr>
          <w:rStyle w:val="Strong"/>
          <w:lang w:val="en-US"/>
        </w:rPr>
      </w:pPr>
      <w:r w:rsidRPr="00253542">
        <w:rPr>
          <w:rStyle w:val="Strong"/>
          <w:lang w:val="en-US"/>
        </w:rPr>
        <w:t>Usage</w:t>
      </w:r>
    </w:p>
    <w:p w:rsidR="00C47E43" w:rsidRPr="00C74781" w:rsidRDefault="00C47E43" w:rsidP="00C47E43">
      <w:pPr>
        <w:spacing w:after="0"/>
        <w:rPr>
          <w:lang w:val="en-US"/>
        </w:rPr>
      </w:pPr>
      <w:r w:rsidRPr="00C74781">
        <w:rPr>
          <w:lang w:val="en-US"/>
        </w:rPr>
        <w:t>The end-to-end identification can be used for reconciliation or to link tasks relating to the</w:t>
      </w:r>
    </w:p>
    <w:p w:rsidR="00C47E43" w:rsidRPr="00C74781" w:rsidRDefault="00C47E43" w:rsidP="00C47E43">
      <w:pPr>
        <w:spacing w:after="0"/>
        <w:rPr>
          <w:lang w:val="en-US"/>
        </w:rPr>
      </w:pPr>
      <w:proofErr w:type="gramStart"/>
      <w:r w:rsidRPr="00C74781">
        <w:rPr>
          <w:lang w:val="en-US"/>
        </w:rPr>
        <w:t>transaction</w:t>
      </w:r>
      <w:proofErr w:type="gramEnd"/>
      <w:r w:rsidRPr="00C74781">
        <w:rPr>
          <w:lang w:val="en-US"/>
        </w:rPr>
        <w:t>. It can be included in several messages related to the transaction.</w:t>
      </w:r>
    </w:p>
    <w:p w:rsidR="00C47E43" w:rsidRPr="00C74781" w:rsidRDefault="00C47E43" w:rsidP="00C47E43">
      <w:pPr>
        <w:spacing w:after="0"/>
        <w:rPr>
          <w:lang w:val="en-US"/>
        </w:rPr>
      </w:pPr>
      <w:r w:rsidRPr="00C74781">
        <w:rPr>
          <w:lang w:val="en-US"/>
        </w:rPr>
        <w:t>In case there are technical limitations to pass on multiple references, the end-to-end</w:t>
      </w:r>
    </w:p>
    <w:p w:rsidR="00C47E43" w:rsidRDefault="00C47E43" w:rsidP="00C47E43">
      <w:pPr>
        <w:spacing w:after="0"/>
        <w:rPr>
          <w:lang w:val="en-US"/>
        </w:rPr>
      </w:pPr>
      <w:proofErr w:type="gramStart"/>
      <w:r w:rsidRPr="00C74781">
        <w:rPr>
          <w:lang w:val="en-US"/>
        </w:rPr>
        <w:t>identification</w:t>
      </w:r>
      <w:proofErr w:type="gramEnd"/>
      <w:r w:rsidRPr="00C74781">
        <w:rPr>
          <w:lang w:val="en-US"/>
        </w:rPr>
        <w:t xml:space="preserve"> must be passed on throughout the entire end-to-end chain.</w:t>
      </w:r>
    </w:p>
    <w:p w:rsidR="00C47E43" w:rsidRPr="00C74781" w:rsidRDefault="00C47E43" w:rsidP="00C47E43">
      <w:pPr>
        <w:spacing w:after="0"/>
        <w:rPr>
          <w:lang w:val="en-US"/>
        </w:rPr>
      </w:pPr>
    </w:p>
    <w:p w:rsidR="00C47E43" w:rsidRDefault="00C47E43" w:rsidP="00C47E43">
      <w:pPr>
        <w:rPr>
          <w:lang w:val="en-US"/>
        </w:rPr>
      </w:pPr>
      <w:r>
        <w:rPr>
          <w:lang w:val="en-US"/>
        </w:rPr>
        <w:t>The End-to-End Identification can be provided with a maximum of</w:t>
      </w:r>
      <w:r w:rsidRPr="00C74781">
        <w:rPr>
          <w:lang w:val="en-US"/>
        </w:rPr>
        <w:t xml:space="preserve"> 35</w:t>
      </w:r>
      <w:r>
        <w:rPr>
          <w:lang w:val="en-US"/>
        </w:rPr>
        <w:t xml:space="preserve"> characters on each remittance detail.</w:t>
      </w:r>
    </w:p>
    <w:p w:rsidR="00C47E43" w:rsidRPr="00C47E43" w:rsidRDefault="00C47E43" w:rsidP="00C47E43">
      <w:pPr>
        <w:spacing w:after="0"/>
        <w:ind w:left="708"/>
        <w:rPr>
          <w:rFonts w:ascii="Courier New" w:hAnsi="Courier New" w:cs="Courier New"/>
          <w:sz w:val="20"/>
          <w:lang w:val="en-US"/>
        </w:rPr>
      </w:pPr>
      <w:proofErr w:type="spellStart"/>
      <w:r w:rsidRPr="00C47E43">
        <w:rPr>
          <w:rFonts w:ascii="Courier New" w:hAnsi="Courier New" w:cs="Courier New"/>
          <w:sz w:val="20"/>
          <w:lang w:val="en-US"/>
        </w:rPr>
        <w:t>OriginalPaymentInformation</w:t>
      </w:r>
      <w:proofErr w:type="spellEnd"/>
      <w:r w:rsidRPr="00C47E43">
        <w:rPr>
          <w:rFonts w:ascii="Courier New" w:hAnsi="Courier New" w:cs="Courier New"/>
          <w:sz w:val="20"/>
          <w:lang w:val="en-US"/>
        </w:rPr>
        <w:t xml:space="preserve"> &lt;</w:t>
      </w:r>
      <w:proofErr w:type="spellStart"/>
      <w:r w:rsidRPr="00C47E43">
        <w:rPr>
          <w:rFonts w:ascii="Courier New" w:hAnsi="Courier New" w:cs="Courier New"/>
          <w:sz w:val="20"/>
          <w:lang w:val="en-US"/>
        </w:rPr>
        <w:t>OrgnlPmtInf</w:t>
      </w:r>
      <w:proofErr w:type="spellEnd"/>
      <w:r w:rsidRPr="00C47E43">
        <w:rPr>
          <w:rFonts w:ascii="Courier New" w:hAnsi="Courier New" w:cs="Courier New"/>
          <w:sz w:val="20"/>
          <w:lang w:val="en-US"/>
        </w:rPr>
        <w:t>&gt;</w:t>
      </w:r>
    </w:p>
    <w:p w:rsidR="00C47E43" w:rsidRPr="00C47E43" w:rsidRDefault="00C47E43" w:rsidP="00C47E43">
      <w:pPr>
        <w:spacing w:after="0"/>
        <w:ind w:left="708" w:firstLine="708"/>
        <w:rPr>
          <w:rFonts w:ascii="Courier New" w:hAnsi="Courier New" w:cs="Courier New"/>
          <w:sz w:val="20"/>
          <w:lang w:val="en-US"/>
        </w:rPr>
      </w:pPr>
      <w:r w:rsidRPr="00C47E43">
        <w:rPr>
          <w:rFonts w:ascii="Courier New" w:hAnsi="Courier New" w:cs="Courier New"/>
          <w:sz w:val="20"/>
          <w:lang w:val="en-US"/>
        </w:rPr>
        <w:t>References &lt;Refs&gt;</w:t>
      </w:r>
    </w:p>
    <w:p w:rsidR="00C47E43" w:rsidRPr="00C47E43" w:rsidRDefault="00C47E43" w:rsidP="00C47E43">
      <w:pPr>
        <w:spacing w:after="0"/>
        <w:ind w:left="708"/>
        <w:rPr>
          <w:rFonts w:ascii="Courier New" w:hAnsi="Courier New" w:cs="Courier New"/>
          <w:sz w:val="20"/>
          <w:lang w:val="en-US"/>
        </w:rPr>
      </w:pPr>
      <w:r w:rsidRPr="00C47E43">
        <w:rPr>
          <w:rFonts w:ascii="Courier New" w:hAnsi="Courier New" w:cs="Courier New"/>
          <w:sz w:val="20"/>
          <w:lang w:val="en-US"/>
        </w:rPr>
        <w:tab/>
      </w:r>
      <w:r w:rsidRPr="00C47E43">
        <w:rPr>
          <w:rFonts w:ascii="Courier New" w:hAnsi="Courier New" w:cs="Courier New"/>
          <w:sz w:val="20"/>
          <w:lang w:val="en-US"/>
        </w:rPr>
        <w:tab/>
      </w:r>
      <w:proofErr w:type="spellStart"/>
      <w:r w:rsidRPr="00C47E43">
        <w:rPr>
          <w:rFonts w:ascii="Courier New" w:hAnsi="Courier New" w:cs="Courier New"/>
          <w:sz w:val="20"/>
          <w:lang w:val="en-US"/>
        </w:rPr>
        <w:t>EndToEndIdentification</w:t>
      </w:r>
      <w:proofErr w:type="spellEnd"/>
      <w:r w:rsidRPr="00C47E43">
        <w:rPr>
          <w:rFonts w:ascii="Courier New" w:hAnsi="Courier New" w:cs="Courier New"/>
          <w:sz w:val="20"/>
          <w:lang w:val="en-US"/>
        </w:rPr>
        <w:t xml:space="preserve"> &lt;</w:t>
      </w:r>
      <w:proofErr w:type="spellStart"/>
      <w:r w:rsidRPr="00C47E43">
        <w:rPr>
          <w:rFonts w:ascii="Courier New" w:hAnsi="Courier New" w:cs="Courier New"/>
          <w:sz w:val="20"/>
          <w:lang w:val="en-US"/>
        </w:rPr>
        <w:t>EndToEndId</w:t>
      </w:r>
      <w:proofErr w:type="spellEnd"/>
      <w:r w:rsidRPr="00C47E43">
        <w:rPr>
          <w:rFonts w:ascii="Courier New" w:hAnsi="Courier New" w:cs="Courier New"/>
          <w:sz w:val="20"/>
          <w:lang w:val="en-US"/>
        </w:rPr>
        <w:t>&gt;</w:t>
      </w:r>
    </w:p>
    <w:p w:rsidR="00C47E43" w:rsidRDefault="00C47E43" w:rsidP="00C74781">
      <w:pPr>
        <w:rPr>
          <w:lang w:val="en-US"/>
        </w:rPr>
      </w:pPr>
    </w:p>
    <w:p w:rsidR="00C74781" w:rsidRDefault="00C74781" w:rsidP="00C47E43">
      <w:pPr>
        <w:pStyle w:val="Heading3"/>
        <w:rPr>
          <w:lang w:val="en-US"/>
        </w:rPr>
      </w:pPr>
      <w:bookmarkStart w:id="22" w:name="_Toc509350661"/>
      <w:r w:rsidRPr="00C74781">
        <w:rPr>
          <w:lang w:val="en-US"/>
        </w:rPr>
        <w:t>Creditor</w:t>
      </w:r>
      <w:r w:rsidR="00253542">
        <w:rPr>
          <w:lang w:val="en-US"/>
        </w:rPr>
        <w:t xml:space="preserve"> </w:t>
      </w:r>
      <w:r w:rsidRPr="00C74781">
        <w:rPr>
          <w:lang w:val="en-US"/>
        </w:rPr>
        <w:t>Reference</w:t>
      </w:r>
      <w:r w:rsidR="00253542">
        <w:rPr>
          <w:lang w:val="en-US"/>
        </w:rPr>
        <w:t xml:space="preserve"> </w:t>
      </w:r>
      <w:r w:rsidRPr="00C74781">
        <w:rPr>
          <w:lang w:val="en-US"/>
        </w:rPr>
        <w:t>Information</w:t>
      </w:r>
      <w:bookmarkEnd w:id="22"/>
    </w:p>
    <w:p w:rsidR="00C74781" w:rsidRPr="00C74781" w:rsidRDefault="00C74781" w:rsidP="00253542">
      <w:pPr>
        <w:spacing w:after="0"/>
        <w:rPr>
          <w:lang w:val="en-US"/>
        </w:rPr>
      </w:pPr>
      <w:r w:rsidRPr="00C74781">
        <w:rPr>
          <w:lang w:val="en-US"/>
        </w:rPr>
        <w:t>Unique reference, as assigned by the creditor, to unambiguously refer to the payment</w:t>
      </w:r>
    </w:p>
    <w:p w:rsidR="00AD5586" w:rsidRPr="00C47E43" w:rsidRDefault="00C74781" w:rsidP="00AD5586">
      <w:pPr>
        <w:spacing w:after="0"/>
        <w:rPr>
          <w:lang w:val="en-US"/>
        </w:rPr>
      </w:pPr>
      <w:proofErr w:type="gramStart"/>
      <w:r w:rsidRPr="00C74781">
        <w:rPr>
          <w:lang w:val="en-US"/>
        </w:rPr>
        <w:t>transaction</w:t>
      </w:r>
      <w:proofErr w:type="gramEnd"/>
      <w:r w:rsidRPr="00C74781">
        <w:rPr>
          <w:lang w:val="en-US"/>
        </w:rPr>
        <w:t>.</w:t>
      </w:r>
      <w:r w:rsidR="00AD5586">
        <w:rPr>
          <w:lang w:val="en-US"/>
        </w:rPr>
        <w:t xml:space="preserve">   It </w:t>
      </w:r>
      <w:r w:rsidR="00AD5586">
        <w:rPr>
          <w:lang w:val="en-US"/>
        </w:rPr>
        <w:t xml:space="preserve">is </w:t>
      </w:r>
      <w:r w:rsidR="00AD5586">
        <w:rPr>
          <w:lang w:val="en-US"/>
        </w:rPr>
        <w:t>also known as</w:t>
      </w:r>
      <w:r w:rsidR="00AD5586">
        <w:rPr>
          <w:lang w:val="en-US"/>
        </w:rPr>
        <w:t xml:space="preserve"> the </w:t>
      </w:r>
      <w:r w:rsidR="00AD5586" w:rsidRPr="00C47E43">
        <w:rPr>
          <w:lang w:val="en-US"/>
        </w:rPr>
        <w:t>Invoicing Party Reference</w:t>
      </w:r>
      <w:r w:rsidR="00AD5586">
        <w:rPr>
          <w:lang w:val="en-US"/>
        </w:rPr>
        <w:t xml:space="preserve"> in UBL.</w:t>
      </w:r>
    </w:p>
    <w:p w:rsidR="00AD5586" w:rsidRDefault="00AD5586" w:rsidP="00253542">
      <w:pPr>
        <w:spacing w:after="0"/>
        <w:rPr>
          <w:lang w:val="en-US"/>
        </w:rPr>
      </w:pPr>
    </w:p>
    <w:p w:rsidR="00253542" w:rsidRDefault="00C74781" w:rsidP="00253542">
      <w:pPr>
        <w:spacing w:after="0"/>
        <w:rPr>
          <w:rStyle w:val="Strong"/>
          <w:lang w:val="en-US"/>
        </w:rPr>
      </w:pPr>
      <w:r w:rsidRPr="00253542">
        <w:rPr>
          <w:rStyle w:val="Strong"/>
          <w:lang w:val="en-US"/>
        </w:rPr>
        <w:t>Usage</w:t>
      </w:r>
    </w:p>
    <w:p w:rsidR="00C74781" w:rsidRPr="00C74781" w:rsidRDefault="00C74781" w:rsidP="00253542">
      <w:pPr>
        <w:spacing w:after="0"/>
        <w:rPr>
          <w:lang w:val="en-US"/>
        </w:rPr>
      </w:pPr>
      <w:r w:rsidRPr="00C74781">
        <w:rPr>
          <w:lang w:val="en-US"/>
        </w:rPr>
        <w:t>If available, the initiating party should provide this reference in the structured remittance</w:t>
      </w:r>
      <w:r w:rsidR="00253542">
        <w:rPr>
          <w:lang w:val="en-US"/>
        </w:rPr>
        <w:t>.</w:t>
      </w:r>
    </w:p>
    <w:p w:rsidR="00C74781" w:rsidRPr="00C74781" w:rsidRDefault="00C74781" w:rsidP="00253542">
      <w:pPr>
        <w:spacing w:after="0"/>
        <w:rPr>
          <w:lang w:val="en-US"/>
        </w:rPr>
      </w:pPr>
      <w:r w:rsidRPr="00C74781">
        <w:rPr>
          <w:lang w:val="en-US"/>
        </w:rPr>
        <w:t>If the business context requires the use of a creditor reference or a payment remit identification, and</w:t>
      </w:r>
    </w:p>
    <w:p w:rsidR="00C74781" w:rsidRPr="00C74781" w:rsidRDefault="00C74781" w:rsidP="00253542">
      <w:pPr>
        <w:spacing w:after="0"/>
        <w:rPr>
          <w:lang w:val="en-US"/>
        </w:rPr>
      </w:pPr>
      <w:proofErr w:type="gramStart"/>
      <w:r w:rsidRPr="00C74781">
        <w:rPr>
          <w:lang w:val="en-US"/>
        </w:rPr>
        <w:t>only</w:t>
      </w:r>
      <w:proofErr w:type="gramEnd"/>
      <w:r w:rsidRPr="00C74781">
        <w:rPr>
          <w:lang w:val="en-US"/>
        </w:rPr>
        <w:t xml:space="preserve"> one identifier can be passed through the end-to-end chain, the creditor's reference or payment</w:t>
      </w:r>
    </w:p>
    <w:p w:rsidR="00C74781" w:rsidRDefault="00C74781" w:rsidP="00253542">
      <w:pPr>
        <w:spacing w:after="0"/>
        <w:rPr>
          <w:lang w:val="en-US"/>
        </w:rPr>
      </w:pPr>
      <w:proofErr w:type="gramStart"/>
      <w:r w:rsidRPr="00C74781">
        <w:rPr>
          <w:lang w:val="en-US"/>
        </w:rPr>
        <w:t>remittance</w:t>
      </w:r>
      <w:proofErr w:type="gramEnd"/>
      <w:r w:rsidRPr="00C74781">
        <w:rPr>
          <w:lang w:val="en-US"/>
        </w:rPr>
        <w:t xml:space="preserve"> identification should be quoted in the end-to-end transaction identification.</w:t>
      </w:r>
    </w:p>
    <w:p w:rsidR="00C47E43" w:rsidRDefault="00C47E43" w:rsidP="00C47E43">
      <w:pPr>
        <w:pStyle w:val="Heading1"/>
        <w:rPr>
          <w:lang w:val="en-US"/>
        </w:rPr>
      </w:pPr>
      <w:bookmarkStart w:id="23" w:name="_Toc509350662"/>
      <w:r>
        <w:rPr>
          <w:lang w:val="en-US"/>
        </w:rPr>
        <w:t>UBL Payment Reconciliation Process</w:t>
      </w:r>
      <w:bookmarkEnd w:id="23"/>
    </w:p>
    <w:p w:rsidR="00C47E43" w:rsidRDefault="00C47E43" w:rsidP="00C47E43">
      <w:pPr>
        <w:rPr>
          <w:lang w:val="en-US"/>
        </w:rPr>
      </w:pPr>
      <w:r>
        <w:rPr>
          <w:lang w:val="en-US"/>
        </w:rPr>
        <w:t xml:space="preserve">In order to </w:t>
      </w:r>
      <w:r w:rsidR="00BF453E">
        <w:rPr>
          <w:lang w:val="en-US"/>
        </w:rPr>
        <w:t>reach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 automatic</w:t>
      </w:r>
      <w:proofErr w:type="gramEnd"/>
      <w:r>
        <w:rPr>
          <w:lang w:val="en-US"/>
        </w:rPr>
        <w:t xml:space="preserve"> payment reconciliation it takes to ensure that the Debtor (Payer or </w:t>
      </w:r>
      <w:proofErr w:type="spellStart"/>
      <w:r>
        <w:rPr>
          <w:lang w:val="en-US"/>
        </w:rPr>
        <w:t>Invoicee</w:t>
      </w:r>
      <w:proofErr w:type="spellEnd"/>
      <w:r>
        <w:rPr>
          <w:lang w:val="en-US"/>
        </w:rPr>
        <w:t xml:space="preserve">) is able to provide either a </w:t>
      </w:r>
      <w:r w:rsidRPr="00C74781">
        <w:rPr>
          <w:lang w:val="en-US"/>
        </w:rPr>
        <w:t xml:space="preserve">Creditor </w:t>
      </w:r>
      <w:r>
        <w:rPr>
          <w:lang w:val="en-US"/>
        </w:rPr>
        <w:t>R</w:t>
      </w:r>
      <w:r w:rsidRPr="00C74781">
        <w:rPr>
          <w:lang w:val="en-US"/>
        </w:rPr>
        <w:t xml:space="preserve">eference </w:t>
      </w:r>
      <w:r>
        <w:rPr>
          <w:lang w:val="en-US"/>
        </w:rPr>
        <w:t xml:space="preserve">or a </w:t>
      </w:r>
      <w:bookmarkStart w:id="24" w:name="OLE_LINK58"/>
      <w:bookmarkStart w:id="25" w:name="OLE_LINK59"/>
      <w:r w:rsidR="00013E29">
        <w:rPr>
          <w:lang w:val="en-US"/>
        </w:rPr>
        <w:t>P</w:t>
      </w:r>
      <w:r>
        <w:rPr>
          <w:lang w:val="en-US"/>
        </w:rPr>
        <w:t xml:space="preserve">ayment </w:t>
      </w:r>
      <w:r w:rsidR="00013E29">
        <w:rPr>
          <w:lang w:val="en-US"/>
        </w:rPr>
        <w:t>R</w:t>
      </w:r>
      <w:r>
        <w:rPr>
          <w:lang w:val="en-US"/>
        </w:rPr>
        <w:t xml:space="preserve">emit </w:t>
      </w:r>
      <w:r w:rsidR="00013E29">
        <w:rPr>
          <w:lang w:val="en-US"/>
        </w:rPr>
        <w:t>I</w:t>
      </w:r>
      <w:r>
        <w:rPr>
          <w:lang w:val="en-US"/>
        </w:rPr>
        <w:t>dentification</w:t>
      </w:r>
      <w:bookmarkEnd w:id="24"/>
      <w:bookmarkEnd w:id="25"/>
      <w:r w:rsidR="00013E29">
        <w:rPr>
          <w:lang w:val="en-US"/>
        </w:rPr>
        <w:t xml:space="preserve"> along with the Payment Initiation</w:t>
      </w:r>
      <w:r>
        <w:rPr>
          <w:lang w:val="en-US"/>
        </w:rPr>
        <w:t>.</w:t>
      </w:r>
    </w:p>
    <w:p w:rsidR="00C47E43" w:rsidRPr="00C74781" w:rsidRDefault="00C47E43" w:rsidP="00C47E43">
      <w:pPr>
        <w:rPr>
          <w:lang w:val="en-US"/>
        </w:rPr>
      </w:pPr>
      <w:r>
        <w:rPr>
          <w:lang w:val="en-US"/>
        </w:rPr>
        <w:t>Of course the above condition depends of the agreement between Creditor and Debtor and thus it must be part of an implementation profile.</w:t>
      </w:r>
    </w:p>
    <w:p w:rsidR="00C47E43" w:rsidRDefault="00C47E43" w:rsidP="00C47E43">
      <w:pPr>
        <w:rPr>
          <w:lang w:val="en-US"/>
        </w:rPr>
      </w:pPr>
      <w:r>
        <w:rPr>
          <w:lang w:val="en-US"/>
        </w:rPr>
        <w:t>UBL supports the Creditor Reference</w:t>
      </w:r>
      <w:r w:rsidRPr="00C74781">
        <w:rPr>
          <w:lang w:val="en-US"/>
        </w:rPr>
        <w:t xml:space="preserve"> </w:t>
      </w:r>
      <w:r>
        <w:rPr>
          <w:lang w:val="en-US"/>
        </w:rPr>
        <w:t>(</w:t>
      </w:r>
      <w:r w:rsidR="00013E29">
        <w:rPr>
          <w:lang w:val="en-US"/>
        </w:rPr>
        <w:t>see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Pr="00C74781">
        <w:rPr>
          <w:lang w:val="en-US"/>
        </w:rPr>
        <w:t>nvoicing</w:t>
      </w:r>
      <w:r>
        <w:rPr>
          <w:lang w:val="en-US"/>
        </w:rPr>
        <w:t>P</w:t>
      </w:r>
      <w:r w:rsidRPr="00C74781">
        <w:rPr>
          <w:lang w:val="en-US"/>
        </w:rPr>
        <w:t>arty</w:t>
      </w:r>
      <w:r>
        <w:rPr>
          <w:lang w:val="en-US"/>
        </w:rPr>
        <w:t>R</w:t>
      </w:r>
      <w:r w:rsidRPr="00C74781">
        <w:rPr>
          <w:lang w:val="en-US"/>
        </w:rPr>
        <w:t>eference</w:t>
      </w:r>
      <w:proofErr w:type="spellEnd"/>
      <w:r w:rsidR="00013E29">
        <w:rPr>
          <w:lang w:val="en-US"/>
        </w:rPr>
        <w:t xml:space="preserve"> § </w:t>
      </w:r>
      <w:r w:rsidR="00013E29">
        <w:rPr>
          <w:lang w:val="en-US"/>
        </w:rPr>
        <w:fldChar w:fldCharType="begin"/>
      </w:r>
      <w:r w:rsidR="00013E29">
        <w:rPr>
          <w:lang w:val="en-US"/>
        </w:rPr>
        <w:instrText xml:space="preserve"> REF _Ref509341625 \r \h </w:instrText>
      </w:r>
      <w:r w:rsidR="00013E29">
        <w:rPr>
          <w:lang w:val="en-US"/>
        </w:rPr>
      </w:r>
      <w:r w:rsidR="00013E29">
        <w:rPr>
          <w:lang w:val="en-US"/>
        </w:rPr>
        <w:fldChar w:fldCharType="separate"/>
      </w:r>
      <w:r w:rsidR="00013E29">
        <w:rPr>
          <w:lang w:val="en-US"/>
        </w:rPr>
        <w:t>4.1</w:t>
      </w:r>
      <w:r w:rsidR="00013E29">
        <w:rPr>
          <w:lang w:val="en-US"/>
        </w:rPr>
        <w:fldChar w:fldCharType="end"/>
      </w:r>
      <w:r>
        <w:rPr>
          <w:lang w:val="en-US"/>
        </w:rPr>
        <w:t xml:space="preserve">) in both the Invoice and the </w:t>
      </w:r>
      <w:proofErr w:type="spellStart"/>
      <w:r>
        <w:rPr>
          <w:lang w:val="en-US"/>
        </w:rPr>
        <w:t>RemittanceAdvice</w:t>
      </w:r>
      <w:proofErr w:type="spellEnd"/>
      <w:r>
        <w:rPr>
          <w:lang w:val="en-US"/>
        </w:rPr>
        <w:t xml:space="preserve"> documents and the </w:t>
      </w:r>
      <w:r w:rsidRPr="00C47E43">
        <w:rPr>
          <w:lang w:val="en-US"/>
        </w:rPr>
        <w:t>Payment Remit Identification</w:t>
      </w:r>
      <w:r w:rsidR="00013E29">
        <w:rPr>
          <w:lang w:val="en-US"/>
        </w:rPr>
        <w:t xml:space="preserve"> </w:t>
      </w:r>
      <w:r>
        <w:rPr>
          <w:lang w:val="en-US"/>
        </w:rPr>
        <w:t>(</w:t>
      </w:r>
      <w:r w:rsidR="00013E29">
        <w:rPr>
          <w:lang w:val="en-US"/>
        </w:rPr>
        <w:t>see</w:t>
      </w:r>
      <w:r>
        <w:rPr>
          <w:lang w:val="en-US"/>
        </w:rPr>
        <w:t xml:space="preserve"> </w:t>
      </w:r>
      <w:proofErr w:type="spellStart"/>
      <w:r w:rsidRPr="00C47E43">
        <w:rPr>
          <w:lang w:val="en-US"/>
        </w:rPr>
        <w:t>PaymentOrderReference</w:t>
      </w:r>
      <w:proofErr w:type="spellEnd"/>
      <w:r w:rsidR="00013E29">
        <w:rPr>
          <w:lang w:val="en-US"/>
        </w:rPr>
        <w:t xml:space="preserve"> §</w:t>
      </w:r>
      <w:r w:rsidR="00013E29">
        <w:rPr>
          <w:lang w:val="en-US"/>
        </w:rPr>
        <w:fldChar w:fldCharType="begin"/>
      </w:r>
      <w:r w:rsidR="00013E29">
        <w:rPr>
          <w:lang w:val="en-US"/>
        </w:rPr>
        <w:instrText xml:space="preserve"> REF _Ref509341650 \r \h </w:instrText>
      </w:r>
      <w:r w:rsidR="00013E29">
        <w:rPr>
          <w:lang w:val="en-US"/>
        </w:rPr>
      </w:r>
      <w:r w:rsidR="00013E29">
        <w:rPr>
          <w:lang w:val="en-US"/>
        </w:rPr>
        <w:fldChar w:fldCharType="separate"/>
      </w:r>
      <w:r w:rsidR="00013E29">
        <w:rPr>
          <w:lang w:val="en-US"/>
        </w:rPr>
        <w:t>4.2</w:t>
      </w:r>
      <w:r w:rsidR="00013E29">
        <w:rPr>
          <w:lang w:val="en-US"/>
        </w:rPr>
        <w:fldChar w:fldCharType="end"/>
      </w:r>
      <w:r>
        <w:rPr>
          <w:lang w:val="en-US"/>
        </w:rPr>
        <w:t xml:space="preserve">) in the </w:t>
      </w:r>
      <w:proofErr w:type="spellStart"/>
      <w:r>
        <w:rPr>
          <w:lang w:val="en-US"/>
        </w:rPr>
        <w:t>RemittanceAdvice</w:t>
      </w:r>
      <w:proofErr w:type="spellEnd"/>
      <w:r>
        <w:rPr>
          <w:lang w:val="en-US"/>
        </w:rPr>
        <w:t>.</w:t>
      </w:r>
    </w:p>
    <w:p w:rsidR="00E663E5" w:rsidRDefault="00E663E5" w:rsidP="00C47E43">
      <w:pPr>
        <w:rPr>
          <w:lang w:val="en-US"/>
        </w:rPr>
      </w:pPr>
      <w:r>
        <w:rPr>
          <w:lang w:val="en-US"/>
        </w:rPr>
        <w:t xml:space="preserve">The following table shows how both </w:t>
      </w:r>
      <w:proofErr w:type="gramStart"/>
      <w:r>
        <w:rPr>
          <w:lang w:val="en-US"/>
        </w:rPr>
        <w:t>type</w:t>
      </w:r>
      <w:proofErr w:type="gramEnd"/>
      <w:r>
        <w:rPr>
          <w:lang w:val="en-US"/>
        </w:rPr>
        <w:t xml:space="preserve"> of references are transported end-to-end along with other references in the Structured Remittance of ISO20022.</w:t>
      </w:r>
    </w:p>
    <w:tbl>
      <w:tblPr>
        <w:tblStyle w:val="ListTable3Accent1"/>
        <w:tblW w:w="0" w:type="auto"/>
        <w:tblLayout w:type="fixed"/>
        <w:tblLook w:val="04A0" w:firstRow="1" w:lastRow="0" w:firstColumn="1" w:lastColumn="0" w:noHBand="0" w:noVBand="1"/>
      </w:tblPr>
      <w:tblGrid>
        <w:gridCol w:w="350"/>
        <w:gridCol w:w="3019"/>
        <w:gridCol w:w="1984"/>
        <w:gridCol w:w="2268"/>
        <w:gridCol w:w="2233"/>
      </w:tblGrid>
      <w:tr w:rsidR="001F37F8" w:rsidTr="001F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" w:type="dxa"/>
            <w:textDirection w:val="btLr"/>
          </w:tcPr>
          <w:p w:rsidR="001F37F8" w:rsidRDefault="001F37F8" w:rsidP="001F37F8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Step</w:t>
            </w:r>
          </w:p>
        </w:tc>
        <w:tc>
          <w:tcPr>
            <w:tcW w:w="3019" w:type="dxa"/>
          </w:tcPr>
          <w:p w:rsidR="001F37F8" w:rsidRDefault="001F37F8" w:rsidP="00C47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Message</w:t>
            </w:r>
          </w:p>
        </w:tc>
        <w:tc>
          <w:tcPr>
            <w:tcW w:w="1984" w:type="dxa"/>
          </w:tcPr>
          <w:p w:rsidR="001F37F8" w:rsidRPr="00C74781" w:rsidRDefault="00E663E5" w:rsidP="00E66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Process/Area</w:t>
            </w:r>
          </w:p>
        </w:tc>
        <w:tc>
          <w:tcPr>
            <w:tcW w:w="2268" w:type="dxa"/>
          </w:tcPr>
          <w:p w:rsidR="001F37F8" w:rsidRPr="00E663E5" w:rsidRDefault="00E663E5" w:rsidP="00AD5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r w:rsidR="001F37F8" w:rsidRPr="00E663E5">
              <w:rPr>
                <w:lang w:val="en-US"/>
              </w:rPr>
              <w:t>Creditor Reference</w:t>
            </w:r>
            <w:r w:rsidR="001F37F8" w:rsidRPr="00E663E5">
              <w:rPr>
                <w:lang w:val="en-US"/>
              </w:rPr>
              <w:t xml:space="preserve"> </w:t>
            </w:r>
          </w:p>
          <w:p w:rsidR="001F37F8" w:rsidRPr="001F37F8" w:rsidRDefault="001F37F8" w:rsidP="00AD5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663E5">
              <w:rPr>
                <w:sz w:val="18"/>
                <w:lang w:val="en-US"/>
              </w:rPr>
              <w:t>(</w:t>
            </w:r>
            <w:r w:rsidRPr="00E663E5">
              <w:rPr>
                <w:sz w:val="18"/>
                <w:lang w:val="en-US"/>
              </w:rPr>
              <w:t>Invoicing</w:t>
            </w:r>
            <w:r w:rsidR="00E663E5" w:rsidRPr="00E663E5">
              <w:rPr>
                <w:sz w:val="18"/>
                <w:lang w:val="en-US"/>
              </w:rPr>
              <w:t xml:space="preserve"> </w:t>
            </w:r>
            <w:r w:rsidRPr="00E663E5">
              <w:rPr>
                <w:sz w:val="18"/>
                <w:lang w:val="en-US"/>
              </w:rPr>
              <w:t>Party</w:t>
            </w:r>
            <w:r w:rsidR="00E663E5" w:rsidRPr="00E663E5">
              <w:rPr>
                <w:sz w:val="18"/>
                <w:lang w:val="en-US"/>
              </w:rPr>
              <w:t xml:space="preserve"> </w:t>
            </w:r>
            <w:r w:rsidRPr="00E663E5">
              <w:rPr>
                <w:sz w:val="18"/>
                <w:lang w:val="en-US"/>
              </w:rPr>
              <w:t>Reference)</w:t>
            </w:r>
          </w:p>
        </w:tc>
        <w:tc>
          <w:tcPr>
            <w:tcW w:w="2233" w:type="dxa"/>
          </w:tcPr>
          <w:p w:rsidR="001F37F8" w:rsidRPr="00E663E5" w:rsidRDefault="00E663E5" w:rsidP="00C47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="001F37F8" w:rsidRPr="00E663E5">
              <w:rPr>
                <w:lang w:val="en-US"/>
              </w:rPr>
              <w:t>Payment Remit Identification</w:t>
            </w:r>
          </w:p>
          <w:p w:rsidR="001F37F8" w:rsidRPr="00E663E5" w:rsidRDefault="001F37F8" w:rsidP="00C47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663E5">
              <w:rPr>
                <w:sz w:val="18"/>
                <w:lang w:val="en-US"/>
              </w:rPr>
              <w:t>(</w:t>
            </w:r>
            <w:r w:rsidRPr="00E663E5">
              <w:rPr>
                <w:sz w:val="18"/>
                <w:lang w:val="en-US"/>
              </w:rPr>
              <w:t>Payment</w:t>
            </w:r>
            <w:r w:rsidR="00E663E5" w:rsidRPr="00E663E5">
              <w:rPr>
                <w:sz w:val="18"/>
                <w:lang w:val="en-US"/>
              </w:rPr>
              <w:t xml:space="preserve"> </w:t>
            </w:r>
            <w:r w:rsidRPr="00E663E5">
              <w:rPr>
                <w:sz w:val="18"/>
                <w:lang w:val="en-US"/>
              </w:rPr>
              <w:t>Order</w:t>
            </w:r>
            <w:r w:rsidR="00E663E5" w:rsidRPr="00E663E5">
              <w:rPr>
                <w:sz w:val="18"/>
                <w:lang w:val="en-US"/>
              </w:rPr>
              <w:t xml:space="preserve"> </w:t>
            </w:r>
            <w:r w:rsidRPr="00E663E5">
              <w:rPr>
                <w:sz w:val="18"/>
                <w:lang w:val="en-US"/>
              </w:rPr>
              <w:t>Reference</w:t>
            </w:r>
            <w:r w:rsidRPr="00E663E5">
              <w:rPr>
                <w:sz w:val="18"/>
                <w:lang w:val="en-US"/>
              </w:rPr>
              <w:t>)</w:t>
            </w:r>
          </w:p>
        </w:tc>
      </w:tr>
      <w:tr w:rsidR="001F37F8" w:rsidTr="001F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1F37F8" w:rsidRPr="003D1197" w:rsidRDefault="001F37F8" w:rsidP="00C47E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19" w:type="dxa"/>
          </w:tcPr>
          <w:p w:rsidR="001F37F8" w:rsidRPr="001F37F8" w:rsidRDefault="001F37F8" w:rsidP="00C4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UBL-Invoice-2.1</w:t>
            </w:r>
          </w:p>
        </w:tc>
        <w:tc>
          <w:tcPr>
            <w:tcW w:w="1984" w:type="dxa"/>
          </w:tcPr>
          <w:p w:rsidR="001F37F8" w:rsidRPr="001F37F8" w:rsidRDefault="001F37F8" w:rsidP="00C4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Invoicing</w:t>
            </w:r>
          </w:p>
        </w:tc>
        <w:tc>
          <w:tcPr>
            <w:tcW w:w="2268" w:type="dxa"/>
          </w:tcPr>
          <w:p w:rsidR="001F37F8" w:rsidRPr="001F37F8" w:rsidRDefault="001F37F8" w:rsidP="00C4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Invoicing</w:t>
            </w:r>
            <w:r w:rsidR="00E663E5"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Party</w:t>
            </w:r>
            <w:r w:rsidR="00E663E5"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Reference</w:t>
            </w:r>
          </w:p>
        </w:tc>
        <w:tc>
          <w:tcPr>
            <w:tcW w:w="2233" w:type="dxa"/>
          </w:tcPr>
          <w:p w:rsidR="001F37F8" w:rsidRPr="001F37F8" w:rsidRDefault="00E663E5" w:rsidP="00C4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1F37F8" w:rsidTr="001F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1F37F8" w:rsidRPr="003D1197" w:rsidRDefault="001F37F8" w:rsidP="00C47E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19" w:type="dxa"/>
          </w:tcPr>
          <w:p w:rsidR="001F37F8" w:rsidRPr="001F37F8" w:rsidRDefault="001F37F8" w:rsidP="00C4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1F37F8">
              <w:rPr>
                <w:sz w:val="20"/>
                <w:lang w:val="en-US"/>
              </w:rPr>
              <w:t>CustomerCreditTransferInitiation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V08</w:t>
            </w:r>
          </w:p>
        </w:tc>
        <w:tc>
          <w:tcPr>
            <w:tcW w:w="1984" w:type="dxa"/>
          </w:tcPr>
          <w:p w:rsidR="001F37F8" w:rsidRPr="001F37F8" w:rsidRDefault="001F37F8" w:rsidP="00AD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Payment Initiation</w:t>
            </w:r>
          </w:p>
        </w:tc>
        <w:tc>
          <w:tcPr>
            <w:tcW w:w="2268" w:type="dxa"/>
          </w:tcPr>
          <w:p w:rsidR="001F37F8" w:rsidRPr="001F37F8" w:rsidRDefault="001F37F8" w:rsidP="00AD5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Structured Remittance</w:t>
            </w:r>
          </w:p>
        </w:tc>
        <w:tc>
          <w:tcPr>
            <w:tcW w:w="2233" w:type="dxa"/>
          </w:tcPr>
          <w:p w:rsidR="001F37F8" w:rsidRPr="001F37F8" w:rsidRDefault="001F37F8" w:rsidP="00C4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Structured Remittance</w:t>
            </w:r>
          </w:p>
        </w:tc>
      </w:tr>
      <w:tr w:rsidR="001F37F8" w:rsidTr="001F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1F37F8" w:rsidRPr="003D1197" w:rsidRDefault="001F37F8" w:rsidP="00C47E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19" w:type="dxa"/>
          </w:tcPr>
          <w:p w:rsidR="001F37F8" w:rsidRPr="001F37F8" w:rsidRDefault="001F37F8" w:rsidP="00C4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UBL-RemittanceAdvice-2.1</w:t>
            </w:r>
          </w:p>
        </w:tc>
        <w:tc>
          <w:tcPr>
            <w:tcW w:w="1984" w:type="dxa"/>
          </w:tcPr>
          <w:p w:rsidR="001F37F8" w:rsidRPr="001F37F8" w:rsidRDefault="001F37F8" w:rsidP="001F3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Payment </w:t>
            </w:r>
            <w:r w:rsidRPr="001F37F8">
              <w:rPr>
                <w:sz w:val="20"/>
                <w:lang w:val="en-US"/>
              </w:rPr>
              <w:t>Remittance</w:t>
            </w:r>
          </w:p>
        </w:tc>
        <w:tc>
          <w:tcPr>
            <w:tcW w:w="2268" w:type="dxa"/>
          </w:tcPr>
          <w:p w:rsidR="001F37F8" w:rsidRPr="001F37F8" w:rsidRDefault="001F37F8" w:rsidP="00C4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Invoicing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Party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Reference</w:t>
            </w:r>
          </w:p>
        </w:tc>
        <w:tc>
          <w:tcPr>
            <w:tcW w:w="2233" w:type="dxa"/>
          </w:tcPr>
          <w:p w:rsidR="001F37F8" w:rsidRPr="001F37F8" w:rsidRDefault="001F37F8" w:rsidP="00C4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Payment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Order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Reference</w:t>
            </w:r>
          </w:p>
        </w:tc>
      </w:tr>
      <w:tr w:rsidR="001F37F8" w:rsidTr="001F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1F37F8" w:rsidRPr="003D1197" w:rsidRDefault="001F37F8" w:rsidP="00C47E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19" w:type="dxa"/>
          </w:tcPr>
          <w:p w:rsidR="001F37F8" w:rsidRPr="001F37F8" w:rsidRDefault="001F37F8" w:rsidP="00C4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1F37F8">
              <w:rPr>
                <w:sz w:val="20"/>
                <w:lang w:val="en-US"/>
              </w:rPr>
              <w:t>FIToFICustomerCreditTransfer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V07</w:t>
            </w:r>
          </w:p>
        </w:tc>
        <w:tc>
          <w:tcPr>
            <w:tcW w:w="1984" w:type="dxa"/>
          </w:tcPr>
          <w:p w:rsidR="001F37F8" w:rsidRPr="001F37F8" w:rsidRDefault="001F37F8" w:rsidP="001F3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Clearing &amp; Settlements</w:t>
            </w:r>
          </w:p>
          <w:p w:rsidR="001F37F8" w:rsidRPr="001F37F8" w:rsidRDefault="001F37F8" w:rsidP="001F3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(Payment Execution)</w:t>
            </w:r>
          </w:p>
        </w:tc>
        <w:tc>
          <w:tcPr>
            <w:tcW w:w="2268" w:type="dxa"/>
          </w:tcPr>
          <w:p w:rsidR="001F37F8" w:rsidRPr="001F37F8" w:rsidRDefault="001F37F8" w:rsidP="00C4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Structured Remittance</w:t>
            </w:r>
          </w:p>
        </w:tc>
        <w:tc>
          <w:tcPr>
            <w:tcW w:w="2233" w:type="dxa"/>
          </w:tcPr>
          <w:p w:rsidR="001F37F8" w:rsidRPr="001F37F8" w:rsidRDefault="001F37F8" w:rsidP="00C4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Structured Remittance</w:t>
            </w:r>
          </w:p>
        </w:tc>
      </w:tr>
    </w:tbl>
    <w:p w:rsidR="00BF453E" w:rsidRDefault="00BF453E" w:rsidP="00C47E43">
      <w:pPr>
        <w:rPr>
          <w:lang w:val="en-US"/>
        </w:rPr>
      </w:pPr>
    </w:p>
    <w:p w:rsidR="00E663E5" w:rsidRDefault="00E663E5" w:rsidP="00E663E5">
      <w:pPr>
        <w:rPr>
          <w:lang w:val="en-US"/>
        </w:rPr>
      </w:pPr>
      <w:r>
        <w:rPr>
          <w:lang w:val="en-US"/>
        </w:rPr>
        <w:t xml:space="preserve">The following table shows </w:t>
      </w:r>
      <w:r w:rsidR="00616A77">
        <w:rPr>
          <w:lang w:val="en-US"/>
        </w:rPr>
        <w:t xml:space="preserve">the </w:t>
      </w:r>
      <w:r>
        <w:rPr>
          <w:lang w:val="en-US"/>
        </w:rPr>
        <w:t xml:space="preserve">how both </w:t>
      </w:r>
      <w:r>
        <w:rPr>
          <w:lang w:val="en-US"/>
        </w:rPr>
        <w:t xml:space="preserve">type of </w:t>
      </w:r>
      <w:r>
        <w:rPr>
          <w:lang w:val="en-US"/>
        </w:rPr>
        <w:t xml:space="preserve">references are transported end-to-end </w:t>
      </w:r>
      <w:r>
        <w:rPr>
          <w:lang w:val="en-US"/>
        </w:rPr>
        <w:t xml:space="preserve">when provided </w:t>
      </w:r>
      <w:r>
        <w:rPr>
          <w:lang w:val="en-US"/>
        </w:rPr>
        <w:t xml:space="preserve">in the </w:t>
      </w:r>
      <w:r>
        <w:rPr>
          <w:lang w:val="en-US"/>
        </w:rPr>
        <w:t xml:space="preserve">End-to-End-Identification field in the </w:t>
      </w:r>
      <w:r>
        <w:rPr>
          <w:lang w:val="en-US"/>
        </w:rPr>
        <w:t>Structured Remittance of ISO20022.</w:t>
      </w:r>
    </w:p>
    <w:tbl>
      <w:tblPr>
        <w:tblStyle w:val="ListTable3Accent1"/>
        <w:tblW w:w="0" w:type="auto"/>
        <w:tblLayout w:type="fixed"/>
        <w:tblLook w:val="04A0" w:firstRow="1" w:lastRow="0" w:firstColumn="1" w:lastColumn="0" w:noHBand="0" w:noVBand="1"/>
      </w:tblPr>
      <w:tblGrid>
        <w:gridCol w:w="350"/>
        <w:gridCol w:w="3019"/>
        <w:gridCol w:w="1984"/>
        <w:gridCol w:w="2268"/>
        <w:gridCol w:w="2233"/>
      </w:tblGrid>
      <w:tr w:rsidR="00E663E5" w:rsidTr="00725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" w:type="dxa"/>
            <w:textDirection w:val="btLr"/>
          </w:tcPr>
          <w:p w:rsidR="00E663E5" w:rsidRDefault="00E663E5" w:rsidP="00725C30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Step</w:t>
            </w:r>
          </w:p>
        </w:tc>
        <w:tc>
          <w:tcPr>
            <w:tcW w:w="3019" w:type="dxa"/>
          </w:tcPr>
          <w:p w:rsidR="00E663E5" w:rsidRDefault="00E663E5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Message</w:t>
            </w:r>
          </w:p>
        </w:tc>
        <w:tc>
          <w:tcPr>
            <w:tcW w:w="1984" w:type="dxa"/>
          </w:tcPr>
          <w:p w:rsidR="00E663E5" w:rsidRPr="00C74781" w:rsidRDefault="00E663E5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Process/Area</w:t>
            </w:r>
          </w:p>
        </w:tc>
        <w:tc>
          <w:tcPr>
            <w:tcW w:w="2268" w:type="dxa"/>
          </w:tcPr>
          <w:p w:rsidR="00E663E5" w:rsidRPr="00E663E5" w:rsidRDefault="00E663E5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r w:rsidRPr="00E663E5">
              <w:rPr>
                <w:lang w:val="en-US"/>
              </w:rPr>
              <w:t xml:space="preserve">Creditor Reference </w:t>
            </w:r>
          </w:p>
          <w:p w:rsidR="00E663E5" w:rsidRPr="001F37F8" w:rsidRDefault="00E663E5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663E5">
              <w:rPr>
                <w:sz w:val="18"/>
                <w:lang w:val="en-US"/>
              </w:rPr>
              <w:t>(Invoicing Party Reference)</w:t>
            </w:r>
          </w:p>
        </w:tc>
        <w:tc>
          <w:tcPr>
            <w:tcW w:w="2233" w:type="dxa"/>
          </w:tcPr>
          <w:p w:rsidR="00E663E5" w:rsidRPr="00E663E5" w:rsidRDefault="00E663E5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Pr="00E663E5">
              <w:rPr>
                <w:lang w:val="en-US"/>
              </w:rPr>
              <w:t>Payment Remit Identification</w:t>
            </w:r>
          </w:p>
          <w:p w:rsidR="00E663E5" w:rsidRPr="00E663E5" w:rsidRDefault="00E663E5" w:rsidP="007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663E5">
              <w:rPr>
                <w:sz w:val="18"/>
                <w:lang w:val="en-US"/>
              </w:rPr>
              <w:t>(Payment Order Reference)</w:t>
            </w:r>
          </w:p>
        </w:tc>
      </w:tr>
      <w:tr w:rsidR="00E663E5" w:rsidTr="0072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E663E5" w:rsidRPr="003D1197" w:rsidRDefault="00E663E5" w:rsidP="00725C3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19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UBL-Invoice-2.1</w:t>
            </w:r>
          </w:p>
        </w:tc>
        <w:tc>
          <w:tcPr>
            <w:tcW w:w="1984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Invoicing</w:t>
            </w:r>
          </w:p>
        </w:tc>
        <w:tc>
          <w:tcPr>
            <w:tcW w:w="2268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Invoicing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Party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Reference</w:t>
            </w:r>
          </w:p>
        </w:tc>
        <w:tc>
          <w:tcPr>
            <w:tcW w:w="2233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E663E5" w:rsidTr="00725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E663E5" w:rsidRPr="003D1197" w:rsidRDefault="00E663E5" w:rsidP="00725C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19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1F37F8">
              <w:rPr>
                <w:sz w:val="20"/>
                <w:lang w:val="en-US"/>
              </w:rPr>
              <w:t>CustomerCreditTransferInitiation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V08</w:t>
            </w:r>
          </w:p>
        </w:tc>
        <w:tc>
          <w:tcPr>
            <w:tcW w:w="1984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Payment Initiation</w:t>
            </w:r>
          </w:p>
        </w:tc>
        <w:tc>
          <w:tcPr>
            <w:tcW w:w="2268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Structured Remittance</w:t>
            </w:r>
            <w:r>
              <w:rPr>
                <w:sz w:val="20"/>
                <w:lang w:val="en-US"/>
              </w:rPr>
              <w:t>/</w:t>
            </w:r>
            <w:r w:rsidRPr="00E663E5">
              <w:rPr>
                <w:sz w:val="20"/>
                <w:lang w:val="en-US"/>
              </w:rPr>
              <w:t xml:space="preserve"> </w:t>
            </w:r>
            <w:r w:rsidRPr="00E663E5">
              <w:rPr>
                <w:sz w:val="20"/>
                <w:lang w:val="en-US"/>
              </w:rPr>
              <w:t>End-to-End-</w:t>
            </w:r>
            <w:r w:rsidRPr="00E663E5">
              <w:rPr>
                <w:sz w:val="20"/>
                <w:lang w:val="en-US"/>
              </w:rPr>
              <w:lastRenderedPageBreak/>
              <w:t>Identification</w:t>
            </w:r>
          </w:p>
        </w:tc>
        <w:tc>
          <w:tcPr>
            <w:tcW w:w="2233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lastRenderedPageBreak/>
              <w:t>Structured Remittance</w:t>
            </w:r>
            <w:r>
              <w:rPr>
                <w:sz w:val="20"/>
                <w:lang w:val="en-US"/>
              </w:rPr>
              <w:t>/</w:t>
            </w:r>
            <w:r w:rsidRPr="00E663E5">
              <w:rPr>
                <w:sz w:val="20"/>
                <w:lang w:val="en-US"/>
              </w:rPr>
              <w:t xml:space="preserve"> </w:t>
            </w:r>
            <w:r w:rsidRPr="00E663E5">
              <w:rPr>
                <w:sz w:val="20"/>
                <w:lang w:val="en-US"/>
              </w:rPr>
              <w:t>End-to-End-</w:t>
            </w:r>
            <w:r w:rsidRPr="00E663E5">
              <w:rPr>
                <w:sz w:val="20"/>
                <w:lang w:val="en-US"/>
              </w:rPr>
              <w:lastRenderedPageBreak/>
              <w:t>Identification</w:t>
            </w:r>
          </w:p>
        </w:tc>
      </w:tr>
      <w:tr w:rsidR="00E663E5" w:rsidTr="0072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E663E5" w:rsidRPr="003D1197" w:rsidRDefault="00E663E5" w:rsidP="00725C3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019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UBL-RemittanceAdvice-2.1</w:t>
            </w:r>
          </w:p>
        </w:tc>
        <w:tc>
          <w:tcPr>
            <w:tcW w:w="1984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Payment </w:t>
            </w:r>
            <w:r w:rsidRPr="001F37F8">
              <w:rPr>
                <w:sz w:val="20"/>
                <w:lang w:val="en-US"/>
              </w:rPr>
              <w:t>Remittance</w:t>
            </w:r>
          </w:p>
        </w:tc>
        <w:tc>
          <w:tcPr>
            <w:tcW w:w="2268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Invoicing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Party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Reference</w:t>
            </w:r>
          </w:p>
        </w:tc>
        <w:tc>
          <w:tcPr>
            <w:tcW w:w="2233" w:type="dxa"/>
          </w:tcPr>
          <w:p w:rsidR="00E663E5" w:rsidRPr="001F37F8" w:rsidRDefault="00E663E5" w:rsidP="007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Payment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Order</w:t>
            </w:r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Reference</w:t>
            </w:r>
          </w:p>
        </w:tc>
      </w:tr>
      <w:tr w:rsidR="00E663E5" w:rsidTr="00725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:rsidR="00E663E5" w:rsidRPr="003D1197" w:rsidRDefault="00E663E5" w:rsidP="00725C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19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1F37F8">
              <w:rPr>
                <w:sz w:val="20"/>
                <w:lang w:val="en-US"/>
              </w:rPr>
              <w:t>FIToFICustomerCreditTransfer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1F37F8">
              <w:rPr>
                <w:sz w:val="20"/>
                <w:lang w:val="en-US"/>
              </w:rPr>
              <w:t>V07</w:t>
            </w:r>
          </w:p>
        </w:tc>
        <w:tc>
          <w:tcPr>
            <w:tcW w:w="1984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Clearing &amp; Settlements</w:t>
            </w:r>
          </w:p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(Payment Execution)</w:t>
            </w:r>
          </w:p>
        </w:tc>
        <w:tc>
          <w:tcPr>
            <w:tcW w:w="2268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Structured Remittance</w:t>
            </w:r>
            <w:r>
              <w:rPr>
                <w:sz w:val="20"/>
                <w:lang w:val="en-US"/>
              </w:rPr>
              <w:t>/</w:t>
            </w:r>
            <w:r w:rsidRPr="00E663E5">
              <w:rPr>
                <w:sz w:val="20"/>
                <w:lang w:val="en-US"/>
              </w:rPr>
              <w:t xml:space="preserve"> </w:t>
            </w:r>
            <w:r w:rsidRPr="00E663E5">
              <w:rPr>
                <w:sz w:val="20"/>
                <w:lang w:val="en-US"/>
              </w:rPr>
              <w:t>End-to-End-Identification</w:t>
            </w:r>
          </w:p>
        </w:tc>
        <w:tc>
          <w:tcPr>
            <w:tcW w:w="2233" w:type="dxa"/>
          </w:tcPr>
          <w:p w:rsidR="00E663E5" w:rsidRPr="001F37F8" w:rsidRDefault="00E663E5" w:rsidP="007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F37F8">
              <w:rPr>
                <w:sz w:val="20"/>
                <w:lang w:val="en-US"/>
              </w:rPr>
              <w:t>Structured Remittance</w:t>
            </w:r>
            <w:r>
              <w:rPr>
                <w:sz w:val="20"/>
                <w:lang w:val="en-US"/>
              </w:rPr>
              <w:t>/</w:t>
            </w:r>
            <w:r w:rsidRPr="00E663E5">
              <w:rPr>
                <w:sz w:val="20"/>
                <w:lang w:val="en-US"/>
              </w:rPr>
              <w:t xml:space="preserve"> </w:t>
            </w:r>
            <w:r w:rsidRPr="00E663E5">
              <w:rPr>
                <w:sz w:val="20"/>
                <w:lang w:val="en-US"/>
              </w:rPr>
              <w:t>End-to-End-Identification</w:t>
            </w:r>
          </w:p>
        </w:tc>
      </w:tr>
    </w:tbl>
    <w:p w:rsidR="00E663E5" w:rsidRDefault="00E663E5" w:rsidP="00C47E43">
      <w:pPr>
        <w:rPr>
          <w:lang w:val="en-US"/>
        </w:rPr>
      </w:pPr>
    </w:p>
    <w:p w:rsidR="00013E29" w:rsidRDefault="00013E29" w:rsidP="00C47E43">
      <w:pPr>
        <w:rPr>
          <w:lang w:val="en-US"/>
        </w:rPr>
      </w:pPr>
      <w:r>
        <w:rPr>
          <w:lang w:val="en-US"/>
        </w:rPr>
        <w:t>Once the</w:t>
      </w:r>
      <w:r w:rsidR="00BF453E">
        <w:rPr>
          <w:lang w:val="en-US"/>
        </w:rPr>
        <w:t xml:space="preserve"> </w:t>
      </w:r>
      <w:r w:rsidR="00616A77">
        <w:rPr>
          <w:lang w:val="en-US"/>
        </w:rPr>
        <w:t xml:space="preserve">Creditor has received both the </w:t>
      </w:r>
      <w:r w:rsidR="00BF453E">
        <w:rPr>
          <w:lang w:val="en-US"/>
        </w:rPr>
        <w:t>Remittance</w:t>
      </w:r>
      <w:r w:rsidR="00616A77">
        <w:rPr>
          <w:lang w:val="en-US"/>
        </w:rPr>
        <w:t xml:space="preserve"> </w:t>
      </w:r>
      <w:r w:rsidR="00BF453E">
        <w:rPr>
          <w:lang w:val="en-US"/>
        </w:rPr>
        <w:t>Advice</w:t>
      </w:r>
      <w:r w:rsidR="00616A77">
        <w:rPr>
          <w:lang w:val="en-US"/>
        </w:rPr>
        <w:t xml:space="preserve"> and the </w:t>
      </w:r>
      <w:r w:rsidR="00616A77" w:rsidRPr="00616A77">
        <w:rPr>
          <w:lang w:val="en-US"/>
        </w:rPr>
        <w:t>Credit</w:t>
      </w:r>
      <w:r w:rsidR="00616A77">
        <w:rPr>
          <w:lang w:val="en-US"/>
        </w:rPr>
        <w:t xml:space="preserve"> </w:t>
      </w:r>
      <w:r w:rsidR="00616A77" w:rsidRPr="00616A77">
        <w:rPr>
          <w:lang w:val="en-US"/>
        </w:rPr>
        <w:t>Transfer</w:t>
      </w:r>
      <w:r w:rsidR="00616A77">
        <w:rPr>
          <w:lang w:val="en-US"/>
        </w:rPr>
        <w:t xml:space="preserve"> messages, he will be able to reconcile the payment with one or more invoices using the Creditor Reference or the Payment Remit Identification.</w:t>
      </w:r>
    </w:p>
    <w:p w:rsidR="00616A77" w:rsidRPr="003D1197" w:rsidRDefault="00616A77" w:rsidP="00C47E43">
      <w:pPr>
        <w:rPr>
          <w:lang w:val="en-US"/>
        </w:rPr>
      </w:pPr>
      <w:r>
        <w:rPr>
          <w:lang w:val="en-US"/>
        </w:rPr>
        <w:t xml:space="preserve">The UBL Remittance Advice provides all necessary details </w:t>
      </w:r>
      <w:r w:rsidR="00795149">
        <w:rPr>
          <w:lang w:val="en-US"/>
        </w:rPr>
        <w:t>such as the Billing references to facilitate the reconciliation with account receivables.</w:t>
      </w:r>
    </w:p>
    <w:p w:rsidR="00C47E43" w:rsidRPr="00C74781" w:rsidRDefault="00C47E43" w:rsidP="00C47E43">
      <w:pPr>
        <w:pStyle w:val="Heading2"/>
        <w:rPr>
          <w:lang w:val="en-US"/>
        </w:rPr>
      </w:pPr>
      <w:bookmarkStart w:id="26" w:name="OLE_LINK45"/>
      <w:bookmarkStart w:id="27" w:name="OLE_LINK46"/>
      <w:bookmarkStart w:id="28" w:name="_Ref509341625"/>
      <w:bookmarkStart w:id="29" w:name="_Toc509350663"/>
      <w:r>
        <w:rPr>
          <w:lang w:val="en-US"/>
        </w:rPr>
        <w:t>I</w:t>
      </w:r>
      <w:r w:rsidRPr="00C74781">
        <w:rPr>
          <w:lang w:val="en-US"/>
        </w:rPr>
        <w:t xml:space="preserve">nvoicing </w:t>
      </w:r>
      <w:r>
        <w:rPr>
          <w:lang w:val="en-US"/>
        </w:rPr>
        <w:t>P</w:t>
      </w:r>
      <w:r w:rsidRPr="00C74781">
        <w:rPr>
          <w:lang w:val="en-US"/>
        </w:rPr>
        <w:t xml:space="preserve">arty </w:t>
      </w:r>
      <w:r>
        <w:rPr>
          <w:lang w:val="en-US"/>
        </w:rPr>
        <w:t>Reference</w:t>
      </w:r>
      <w:bookmarkEnd w:id="28"/>
      <w:bookmarkEnd w:id="29"/>
    </w:p>
    <w:bookmarkEnd w:id="26"/>
    <w:bookmarkEnd w:id="27"/>
    <w:p w:rsidR="00C47E43" w:rsidRPr="00C74781" w:rsidRDefault="00C47E43" w:rsidP="00C47E43">
      <w:pPr>
        <w:rPr>
          <w:lang w:val="en-US"/>
        </w:rPr>
      </w:pPr>
      <w:proofErr w:type="gramStart"/>
      <w:r w:rsidRPr="00DB367A">
        <w:rPr>
          <w:lang w:val="en-US"/>
        </w:rPr>
        <w:t>A reference to the payment terms used by the invoicing party</w:t>
      </w:r>
      <w:r>
        <w:rPr>
          <w:lang w:val="en-US"/>
        </w:rPr>
        <w:t xml:space="preserve"> (Creditor/Payee)</w:t>
      </w:r>
      <w:r w:rsidRPr="00DB367A">
        <w:rPr>
          <w:lang w:val="en-US"/>
        </w:rPr>
        <w:t>.</w:t>
      </w:r>
      <w:proofErr w:type="gramEnd"/>
      <w:r w:rsidRPr="00DB367A">
        <w:rPr>
          <w:lang w:val="en-US"/>
        </w:rPr>
        <w:t xml:space="preserve"> This may have been requested of the payer by the payee to accompany its remittance.</w:t>
      </w:r>
      <w:r w:rsidR="00676E98">
        <w:rPr>
          <w:lang w:val="en-US"/>
        </w:rPr>
        <w:t xml:space="preserve">  It is also known as Creditor Reference within the ISO20022 standard.</w:t>
      </w:r>
    </w:p>
    <w:p w:rsidR="00C47E43" w:rsidRDefault="00C47E43" w:rsidP="00C47E43">
      <w:pPr>
        <w:rPr>
          <w:lang w:val="en-US"/>
        </w:rPr>
      </w:pPr>
      <w:r>
        <w:rPr>
          <w:lang w:val="en-US"/>
        </w:rPr>
        <w:t>The following table shows where the invoicing party references can be used.</w:t>
      </w:r>
    </w:p>
    <w:tbl>
      <w:tblPr>
        <w:tblStyle w:val="ListTable3Accent1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C47E43" w:rsidTr="00AF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:rsidR="00C47E43" w:rsidRDefault="00C47E43" w:rsidP="00AF084D">
            <w:pPr>
              <w:rPr>
                <w:lang w:val="en-US"/>
              </w:rPr>
            </w:pPr>
            <w:r>
              <w:rPr>
                <w:lang w:val="en-US"/>
              </w:rPr>
              <w:t>Message</w:t>
            </w:r>
          </w:p>
        </w:tc>
        <w:tc>
          <w:tcPr>
            <w:tcW w:w="7052" w:type="dxa"/>
          </w:tcPr>
          <w:p w:rsidR="00C47E43" w:rsidRDefault="00C47E43" w:rsidP="00AF0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Path and Cardinality</w:t>
            </w:r>
          </w:p>
        </w:tc>
      </w:tr>
      <w:tr w:rsidR="00C47E43" w:rsidTr="00AF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47E43" w:rsidRDefault="00C47E43" w:rsidP="00AF084D">
            <w:pPr>
              <w:rPr>
                <w:lang w:val="en-US"/>
              </w:rPr>
            </w:pPr>
            <w:r w:rsidRPr="003D1197">
              <w:rPr>
                <w:lang w:val="en-US"/>
              </w:rPr>
              <w:t>UBL-Invoice-2.1</w:t>
            </w:r>
          </w:p>
        </w:tc>
        <w:tc>
          <w:tcPr>
            <w:tcW w:w="7052" w:type="dxa"/>
          </w:tcPr>
          <w:p w:rsidR="00C47E43" w:rsidRDefault="00C47E43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3D1197">
              <w:rPr>
                <w:lang w:val="en-US"/>
              </w:rPr>
              <w:t>cac:PaymentTerms</w:t>
            </w:r>
            <w:proofErr w:type="spellEnd"/>
            <w:r w:rsidRPr="003D1197">
              <w:rPr>
                <w:lang w:val="en-US"/>
              </w:rPr>
              <w:t>/</w:t>
            </w:r>
            <w:proofErr w:type="spellStart"/>
            <w:r w:rsidRPr="003D1197">
              <w:rPr>
                <w:lang w:val="en-US"/>
              </w:rPr>
              <w:t>cbc:InvoicingPartyReference</w:t>
            </w:r>
            <w:proofErr w:type="spellEnd"/>
            <w:r w:rsidRPr="003D1197">
              <w:rPr>
                <w:lang w:val="en-US"/>
              </w:rPr>
              <w:t xml:space="preserve"> [0..1]</w:t>
            </w:r>
          </w:p>
        </w:tc>
      </w:tr>
      <w:tr w:rsidR="00C47E43" w:rsidRPr="00013E29" w:rsidTr="00AF084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47E43" w:rsidRDefault="00C47E43" w:rsidP="00AF084D">
            <w:pPr>
              <w:rPr>
                <w:lang w:val="en-US"/>
              </w:rPr>
            </w:pPr>
          </w:p>
        </w:tc>
        <w:tc>
          <w:tcPr>
            <w:tcW w:w="7052" w:type="dxa"/>
          </w:tcPr>
          <w:p w:rsidR="00C47E43" w:rsidRDefault="00C47E43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3D1197">
              <w:rPr>
                <w:lang w:val="en-US"/>
              </w:rPr>
              <w:t>cac:InvoiceLine</w:t>
            </w:r>
            <w:proofErr w:type="spellEnd"/>
            <w:r w:rsidRPr="003D1197">
              <w:rPr>
                <w:lang w:val="en-US"/>
              </w:rPr>
              <w:t>/</w:t>
            </w:r>
            <w:proofErr w:type="spellStart"/>
            <w:r w:rsidRPr="003D1197">
              <w:rPr>
                <w:lang w:val="en-US"/>
              </w:rPr>
              <w:t>cac:PaymentTerms</w:t>
            </w:r>
            <w:proofErr w:type="spellEnd"/>
            <w:r w:rsidRPr="003D1197">
              <w:rPr>
                <w:lang w:val="en-US"/>
              </w:rPr>
              <w:t>/</w:t>
            </w:r>
            <w:proofErr w:type="spellStart"/>
            <w:r w:rsidRPr="003D1197">
              <w:rPr>
                <w:lang w:val="en-US"/>
              </w:rPr>
              <w:t>cbc:InvoicingPartyReference</w:t>
            </w:r>
            <w:proofErr w:type="spellEnd"/>
            <w:r w:rsidRPr="003D1197">
              <w:rPr>
                <w:lang w:val="en-US"/>
              </w:rPr>
              <w:t xml:space="preserve"> [0..1]</w:t>
            </w:r>
          </w:p>
        </w:tc>
      </w:tr>
      <w:tr w:rsidR="00C47E43" w:rsidTr="00AF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47E43" w:rsidRDefault="00C47E43" w:rsidP="00AF084D">
            <w:pPr>
              <w:rPr>
                <w:lang w:val="en-US"/>
              </w:rPr>
            </w:pPr>
            <w:r w:rsidRPr="003D1197">
              <w:rPr>
                <w:lang w:val="en-US"/>
              </w:rPr>
              <w:t>UBL-RemittanceAdvice-2.1</w:t>
            </w:r>
          </w:p>
        </w:tc>
        <w:tc>
          <w:tcPr>
            <w:tcW w:w="7052" w:type="dxa"/>
          </w:tcPr>
          <w:p w:rsidR="00C47E43" w:rsidRDefault="00C47E43" w:rsidP="00AF0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3D1197">
              <w:rPr>
                <w:lang w:val="en-US"/>
              </w:rPr>
              <w:t>cbc:InvoicingPartyReference</w:t>
            </w:r>
            <w:proofErr w:type="spellEnd"/>
            <w:r w:rsidRPr="003D1197">
              <w:rPr>
                <w:lang w:val="en-US"/>
              </w:rPr>
              <w:t xml:space="preserve"> [0..1]</w:t>
            </w:r>
          </w:p>
        </w:tc>
      </w:tr>
      <w:tr w:rsidR="00C47E43" w:rsidTr="00AF084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47E43" w:rsidRDefault="00C47E43" w:rsidP="00AF084D">
            <w:pPr>
              <w:rPr>
                <w:lang w:val="en-US"/>
              </w:rPr>
            </w:pPr>
          </w:p>
        </w:tc>
        <w:tc>
          <w:tcPr>
            <w:tcW w:w="7052" w:type="dxa"/>
          </w:tcPr>
          <w:p w:rsidR="00C47E43" w:rsidRDefault="00C47E43" w:rsidP="00AF0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3D1197">
              <w:rPr>
                <w:lang w:val="en-US"/>
              </w:rPr>
              <w:t>cac:RemittanceAdviceLine</w:t>
            </w:r>
            <w:proofErr w:type="spellEnd"/>
            <w:r w:rsidRPr="003D1197">
              <w:rPr>
                <w:lang w:val="en-US"/>
              </w:rPr>
              <w:t>/</w:t>
            </w:r>
            <w:proofErr w:type="spellStart"/>
            <w:r w:rsidRPr="003D1197">
              <w:rPr>
                <w:lang w:val="en-US"/>
              </w:rPr>
              <w:t>cbc:InvoicingPartyReference</w:t>
            </w:r>
            <w:proofErr w:type="spellEnd"/>
            <w:r w:rsidRPr="003D1197">
              <w:rPr>
                <w:lang w:val="en-US"/>
              </w:rPr>
              <w:t xml:space="preserve"> [0..1]</w:t>
            </w:r>
          </w:p>
        </w:tc>
      </w:tr>
    </w:tbl>
    <w:p w:rsidR="00C47E43" w:rsidRDefault="00C47E43" w:rsidP="00013E29">
      <w:pPr>
        <w:rPr>
          <w:lang w:val="en-US"/>
        </w:rPr>
      </w:pPr>
    </w:p>
    <w:p w:rsidR="00676E98" w:rsidRDefault="00676E98" w:rsidP="00013E29">
      <w:pPr>
        <w:rPr>
          <w:lang w:val="en-US"/>
        </w:rPr>
      </w:pPr>
      <w:r>
        <w:rPr>
          <w:lang w:val="en-US"/>
        </w:rPr>
        <w:t xml:space="preserve">The invoicing party reference allows </w:t>
      </w:r>
      <w:proofErr w:type="gramStart"/>
      <w:r>
        <w:rPr>
          <w:lang w:val="en-US"/>
        </w:rPr>
        <w:t>a more</w:t>
      </w:r>
      <w:proofErr w:type="gramEnd"/>
      <w:r>
        <w:rPr>
          <w:lang w:val="en-US"/>
        </w:rPr>
        <w:t xml:space="preserve"> granular payment reconciliation on the Creditor side, but requires a more complex trade agreement.</w:t>
      </w:r>
    </w:p>
    <w:p w:rsidR="00C47E43" w:rsidRDefault="00C47E43" w:rsidP="00C47E43">
      <w:pPr>
        <w:pStyle w:val="Heading2"/>
        <w:rPr>
          <w:lang w:val="en-US"/>
        </w:rPr>
      </w:pPr>
      <w:bookmarkStart w:id="30" w:name="_Ref509341650"/>
      <w:bookmarkStart w:id="31" w:name="_Toc509350664"/>
      <w:r>
        <w:rPr>
          <w:lang w:val="en-US"/>
        </w:rPr>
        <w:t>P</w:t>
      </w:r>
      <w:r w:rsidRPr="00C47E43">
        <w:rPr>
          <w:lang w:val="en-US"/>
        </w:rPr>
        <w:t xml:space="preserve">ayment </w:t>
      </w:r>
      <w:r>
        <w:rPr>
          <w:lang w:val="en-US"/>
        </w:rPr>
        <w:t>R</w:t>
      </w:r>
      <w:r w:rsidRPr="00C47E43">
        <w:rPr>
          <w:lang w:val="en-US"/>
        </w:rPr>
        <w:t xml:space="preserve">emit </w:t>
      </w:r>
      <w:r>
        <w:rPr>
          <w:lang w:val="en-US"/>
        </w:rPr>
        <w:t>I</w:t>
      </w:r>
      <w:r w:rsidRPr="00C47E43">
        <w:rPr>
          <w:lang w:val="en-US"/>
        </w:rPr>
        <w:t>dentification</w:t>
      </w:r>
      <w:bookmarkEnd w:id="30"/>
      <w:bookmarkEnd w:id="31"/>
    </w:p>
    <w:p w:rsidR="00C47E43" w:rsidRPr="00C47E43" w:rsidRDefault="00C47E43" w:rsidP="00C47E43">
      <w:pPr>
        <w:spacing w:after="0"/>
        <w:rPr>
          <w:lang w:val="en-US"/>
        </w:rPr>
      </w:pPr>
      <w:proofErr w:type="gramStart"/>
      <w:r w:rsidRPr="00C47E43">
        <w:rPr>
          <w:lang w:val="en-US"/>
        </w:rPr>
        <w:t>Unique and unambiguous identification of remittance information</w:t>
      </w:r>
      <w:r>
        <w:rPr>
          <w:lang w:val="en-US"/>
        </w:rPr>
        <w:t xml:space="preserve"> </w:t>
      </w:r>
      <w:r w:rsidRPr="00C47E43">
        <w:rPr>
          <w:lang w:val="en-US"/>
        </w:rPr>
        <w:t>which is sent separately from the payment initiation information.</w:t>
      </w:r>
      <w:proofErr w:type="gramEnd"/>
    </w:p>
    <w:p w:rsidR="00C47E43" w:rsidRDefault="00C47E43" w:rsidP="00C47E43">
      <w:pPr>
        <w:spacing w:after="0"/>
        <w:rPr>
          <w:rStyle w:val="Strong"/>
          <w:lang w:val="en-US"/>
        </w:rPr>
      </w:pPr>
      <w:bookmarkStart w:id="32" w:name="OLE_LINK60"/>
      <w:r w:rsidRPr="00C47E43">
        <w:rPr>
          <w:rStyle w:val="Strong"/>
          <w:lang w:val="en-US"/>
        </w:rPr>
        <w:t>Usage</w:t>
      </w:r>
    </w:p>
    <w:bookmarkEnd w:id="32"/>
    <w:p w:rsidR="00C47E43" w:rsidRDefault="00C47E43" w:rsidP="00C47E43">
      <w:pPr>
        <w:spacing w:after="0"/>
        <w:rPr>
          <w:lang w:val="en-US"/>
        </w:rPr>
      </w:pPr>
      <w:r w:rsidRPr="00C47E43">
        <w:rPr>
          <w:lang w:val="en-US"/>
        </w:rPr>
        <w:t>The payment remittance identification is used to link separately sent</w:t>
      </w:r>
      <w:r>
        <w:rPr>
          <w:lang w:val="en-US"/>
        </w:rPr>
        <w:t xml:space="preserve"> </w:t>
      </w:r>
      <w:r w:rsidRPr="00C47E43">
        <w:rPr>
          <w:lang w:val="en-US"/>
        </w:rPr>
        <w:t xml:space="preserve">remittance information to the </w:t>
      </w:r>
      <w:bookmarkStart w:id="33" w:name="OLE_LINK61"/>
      <w:r w:rsidRPr="00C47E43">
        <w:rPr>
          <w:lang w:val="en-US"/>
        </w:rPr>
        <w:t xml:space="preserve">payment transaction information </w:t>
      </w:r>
      <w:bookmarkEnd w:id="33"/>
      <w:r w:rsidRPr="00C47E43">
        <w:rPr>
          <w:lang w:val="en-US"/>
        </w:rPr>
        <w:t>included in the</w:t>
      </w:r>
      <w:r>
        <w:rPr>
          <w:lang w:val="en-US"/>
        </w:rPr>
        <w:t xml:space="preserve"> </w:t>
      </w:r>
      <w:r w:rsidRPr="00C47E43">
        <w:rPr>
          <w:lang w:val="en-US"/>
        </w:rPr>
        <w:t>payment initiation.</w:t>
      </w:r>
    </w:p>
    <w:p w:rsidR="00C47E43" w:rsidRPr="00C47E43" w:rsidRDefault="00C47E43" w:rsidP="00C47E43">
      <w:pPr>
        <w:spacing w:after="0"/>
        <w:rPr>
          <w:rStyle w:val="Strong"/>
          <w:lang w:val="en-US"/>
        </w:rPr>
      </w:pPr>
      <w:r w:rsidRPr="00C47E43">
        <w:rPr>
          <w:rStyle w:val="Strong"/>
          <w:lang w:val="en-US"/>
        </w:rPr>
        <w:t>Usage in UBL</w:t>
      </w:r>
    </w:p>
    <w:p w:rsidR="00C47E43" w:rsidRDefault="00C47E43" w:rsidP="00C47E43">
      <w:pPr>
        <w:spacing w:after="0"/>
        <w:rPr>
          <w:lang w:val="en-US"/>
        </w:rPr>
      </w:pPr>
      <w:r>
        <w:rPr>
          <w:lang w:val="en-US"/>
        </w:rPr>
        <w:t xml:space="preserve">Into this use case the payment can be associated to the remittance advice only </w:t>
      </w:r>
      <w:r w:rsidR="00676E98">
        <w:rPr>
          <w:lang w:val="en-US"/>
        </w:rPr>
        <w:t xml:space="preserve">through </w:t>
      </w:r>
      <w:r>
        <w:rPr>
          <w:lang w:val="en-US"/>
        </w:rPr>
        <w:t>the payment remit identification.</w:t>
      </w:r>
    </w:p>
    <w:p w:rsidR="00C47E43" w:rsidRPr="00C74781" w:rsidRDefault="00C47E43" w:rsidP="00C47E43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676E98">
        <w:rPr>
          <w:lang w:val="en-US"/>
        </w:rPr>
        <w:t>payment remit identification</w:t>
      </w:r>
      <w:r w:rsidR="00676E98">
        <w:rPr>
          <w:lang w:val="en-US"/>
        </w:rPr>
        <w:t xml:space="preserve"> </w:t>
      </w:r>
      <w:r>
        <w:rPr>
          <w:lang w:val="en-US"/>
        </w:rPr>
        <w:t xml:space="preserve">can be provided in the UBL Remittance Advice only at the root level using the </w:t>
      </w:r>
      <w:proofErr w:type="spellStart"/>
      <w:r w:rsidRPr="00C47E43">
        <w:rPr>
          <w:lang w:val="en-US"/>
        </w:rPr>
        <w:t>cbc</w:t>
      </w:r>
      <w:proofErr w:type="gramStart"/>
      <w:r w:rsidRPr="00C47E43">
        <w:rPr>
          <w:lang w:val="en-US"/>
        </w:rPr>
        <w:t>:PaymentOrderReference</w:t>
      </w:r>
      <w:proofErr w:type="spellEnd"/>
      <w:proofErr w:type="gramEnd"/>
      <w:r w:rsidRPr="00C47E43">
        <w:rPr>
          <w:lang w:val="en-US"/>
        </w:rPr>
        <w:t xml:space="preserve"> [0..1] </w:t>
      </w:r>
      <w:r>
        <w:rPr>
          <w:lang w:val="en-US"/>
        </w:rPr>
        <w:t>(</w:t>
      </w:r>
      <w:r w:rsidRPr="00C47E43">
        <w:rPr>
          <w:lang w:val="en-US"/>
        </w:rPr>
        <w:t>An internal reference to the order for payment from the payer to the payer's bank</w:t>
      </w:r>
      <w:r>
        <w:rPr>
          <w:lang w:val="en-US"/>
        </w:rPr>
        <w:t>)</w:t>
      </w:r>
      <w:r w:rsidRPr="00C47E43">
        <w:rPr>
          <w:lang w:val="en-US"/>
        </w:rPr>
        <w:t>.</w:t>
      </w:r>
    </w:p>
    <w:sectPr w:rsidR="00C47E43" w:rsidRPr="00C7478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3E" w:rsidRDefault="00DA533E" w:rsidP="00CC7F33">
      <w:pPr>
        <w:spacing w:after="0" w:line="240" w:lineRule="auto"/>
      </w:pPr>
      <w:r>
        <w:separator/>
      </w:r>
    </w:p>
  </w:endnote>
  <w:endnote w:type="continuationSeparator" w:id="0">
    <w:p w:rsidR="00DA533E" w:rsidRDefault="00DA533E" w:rsidP="00CC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2D" w:rsidRDefault="0007792D">
    <w:pPr>
      <w:pStyle w:val="Footer"/>
    </w:pPr>
    <w:r>
      <w:t>Copyright (C) 2018 – JAVEST, Italy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3E" w:rsidRDefault="00DA533E" w:rsidP="00CC7F33">
      <w:pPr>
        <w:spacing w:after="0" w:line="240" w:lineRule="auto"/>
      </w:pPr>
      <w:r>
        <w:separator/>
      </w:r>
    </w:p>
  </w:footnote>
  <w:footnote w:type="continuationSeparator" w:id="0">
    <w:p w:rsidR="00DA533E" w:rsidRDefault="00DA533E" w:rsidP="00CC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33" w:rsidRDefault="00CC7F33" w:rsidP="00CC7F33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84pt">
          <v:imagedata r:id="rId1" o:title="javest-logo-300x3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63E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A601214"/>
    <w:multiLevelType w:val="hybridMultilevel"/>
    <w:tmpl w:val="59660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8756E"/>
    <w:multiLevelType w:val="hybridMultilevel"/>
    <w:tmpl w:val="A8A2CD8A"/>
    <w:lvl w:ilvl="0" w:tplc="76006A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C54FC"/>
    <w:multiLevelType w:val="hybridMultilevel"/>
    <w:tmpl w:val="CF7A20B8"/>
    <w:lvl w:ilvl="0" w:tplc="76006AF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81"/>
    <w:rsid w:val="00013E29"/>
    <w:rsid w:val="0001756E"/>
    <w:rsid w:val="0007792D"/>
    <w:rsid w:val="001F37F8"/>
    <w:rsid w:val="00253542"/>
    <w:rsid w:val="00396F66"/>
    <w:rsid w:val="003D1197"/>
    <w:rsid w:val="00616A77"/>
    <w:rsid w:val="00676E98"/>
    <w:rsid w:val="00795149"/>
    <w:rsid w:val="00A54A9E"/>
    <w:rsid w:val="00AB55EC"/>
    <w:rsid w:val="00AD5586"/>
    <w:rsid w:val="00BD2F53"/>
    <w:rsid w:val="00BF453E"/>
    <w:rsid w:val="00C47E43"/>
    <w:rsid w:val="00C74781"/>
    <w:rsid w:val="00CC7F33"/>
    <w:rsid w:val="00DA533E"/>
    <w:rsid w:val="00DB367A"/>
    <w:rsid w:val="00E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43"/>
  </w:style>
  <w:style w:type="paragraph" w:styleId="Heading1">
    <w:name w:val="heading 1"/>
    <w:basedOn w:val="Normal"/>
    <w:next w:val="Normal"/>
    <w:link w:val="Heading1Char"/>
    <w:uiPriority w:val="9"/>
    <w:qFormat/>
    <w:rsid w:val="00C74781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54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E4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E2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E2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E2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E2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E2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E2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4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47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5354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6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3D119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7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4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47E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E29"/>
    <w:pPr>
      <w:numPr>
        <w:numId w:val="0"/>
      </w:num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3E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3E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3E2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C7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33"/>
  </w:style>
  <w:style w:type="paragraph" w:styleId="Footer">
    <w:name w:val="footer"/>
    <w:basedOn w:val="Normal"/>
    <w:link w:val="FooterChar"/>
    <w:uiPriority w:val="99"/>
    <w:unhideWhenUsed/>
    <w:rsid w:val="00CC7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43"/>
  </w:style>
  <w:style w:type="paragraph" w:styleId="Heading1">
    <w:name w:val="heading 1"/>
    <w:basedOn w:val="Normal"/>
    <w:next w:val="Normal"/>
    <w:link w:val="Heading1Char"/>
    <w:uiPriority w:val="9"/>
    <w:qFormat/>
    <w:rsid w:val="00C74781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54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E4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E2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E2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E2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E2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E2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E2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4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47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5354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6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3D119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7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4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47E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E29"/>
    <w:pPr>
      <w:numPr>
        <w:numId w:val="0"/>
      </w:num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3E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3E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3E2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C7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33"/>
  </w:style>
  <w:style w:type="paragraph" w:styleId="Footer">
    <w:name w:val="footer"/>
    <w:basedOn w:val="Normal"/>
    <w:link w:val="FooterChar"/>
    <w:uiPriority w:val="99"/>
    <w:unhideWhenUsed/>
    <w:rsid w:val="00CC7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oasis-open.org/ubl/os-UBL-2.1/UBL-2.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oasis-open.org/ubl/os-UBL-2.1/UBL-2.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oasis-open.org/ubl/os-UBL-2.1/UBL-2.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5710-1D1F-4537-A57E-19D5F09A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Cisternino Roberto</dc:creator>
  <cp:keywords/>
  <dc:description/>
  <cp:lastModifiedBy>JST-HQ</cp:lastModifiedBy>
  <cp:revision>14</cp:revision>
  <dcterms:created xsi:type="dcterms:W3CDTF">2018-03-20T10:17:00Z</dcterms:created>
  <dcterms:modified xsi:type="dcterms:W3CDTF">2018-03-20T22:15:00Z</dcterms:modified>
</cp:coreProperties>
</file>